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9E2" w:rsidRPr="004D56F4" w:rsidRDefault="009F49E2" w:rsidP="009F49E2">
      <w:pPr>
        <w:spacing w:after="0" w:line="240" w:lineRule="auto"/>
        <w:jc w:val="center"/>
        <w:rPr>
          <w:rFonts w:cs="Arial"/>
          <w:b/>
          <w:color w:val="000000" w:themeColor="text1"/>
          <w:sz w:val="56"/>
          <w:szCs w:val="56"/>
        </w:rPr>
      </w:pPr>
      <w:r w:rsidRPr="004D56F4">
        <w:rPr>
          <w:rFonts w:cs="Arial"/>
          <w:b/>
          <w:color w:val="000000" w:themeColor="text1"/>
          <w:sz w:val="56"/>
          <w:szCs w:val="56"/>
        </w:rPr>
        <w:t xml:space="preserve">Dubai Investments net profit </w:t>
      </w:r>
      <w:r w:rsidR="00797347" w:rsidRPr="004D56F4">
        <w:rPr>
          <w:rFonts w:cs="Arial"/>
          <w:b/>
          <w:color w:val="000000" w:themeColor="text1"/>
          <w:sz w:val="56"/>
          <w:szCs w:val="56"/>
        </w:rPr>
        <w:t xml:space="preserve">surges to </w:t>
      </w:r>
      <w:r w:rsidRPr="004D56F4">
        <w:rPr>
          <w:rFonts w:cs="Arial"/>
          <w:b/>
          <w:color w:val="000000" w:themeColor="text1"/>
          <w:sz w:val="56"/>
          <w:szCs w:val="56"/>
        </w:rPr>
        <w:t>AED 265 million in first quarter of 2014</w:t>
      </w:r>
    </w:p>
    <w:p w:rsidR="009F49E2" w:rsidRPr="002D5ACE" w:rsidRDefault="009F49E2" w:rsidP="009F49E2">
      <w:pPr>
        <w:pStyle w:val="NormalWeb"/>
        <w:spacing w:before="0" w:beforeAutospacing="0" w:after="0" w:afterAutospacing="0"/>
        <w:jc w:val="both"/>
        <w:rPr>
          <w:rFonts w:asciiTheme="minorHAnsi" w:eastAsiaTheme="minorHAnsi" w:hAnsiTheme="minorHAnsi" w:cs="Arial"/>
          <w:color w:val="000000" w:themeColor="text1"/>
          <w:lang w:val="en-GB" w:eastAsia="en-GB"/>
        </w:rPr>
      </w:pPr>
    </w:p>
    <w:p w:rsidR="009F49E2" w:rsidRPr="00327181" w:rsidRDefault="009F49E2" w:rsidP="009F49E2">
      <w:pPr>
        <w:pStyle w:val="ListParagraph"/>
        <w:numPr>
          <w:ilvl w:val="0"/>
          <w:numId w:val="2"/>
        </w:numPr>
        <w:tabs>
          <w:tab w:val="left" w:pos="8820"/>
          <w:tab w:val="left" w:pos="9000"/>
          <w:tab w:val="left" w:pos="9180"/>
        </w:tabs>
        <w:contextualSpacing w:val="0"/>
        <w:rPr>
          <w:rFonts w:asciiTheme="minorHAnsi" w:hAnsiTheme="minorHAnsi" w:cs="Arial"/>
          <w:bCs/>
          <w:color w:val="000000" w:themeColor="text1"/>
          <w:sz w:val="28"/>
          <w:szCs w:val="28"/>
          <w:u w:val="single"/>
        </w:rPr>
      </w:pPr>
      <w:r w:rsidRPr="00327181">
        <w:rPr>
          <w:rFonts w:asciiTheme="minorHAnsi" w:hAnsiTheme="minorHAnsi" w:cs="Arial"/>
          <w:bCs/>
          <w:color w:val="000000" w:themeColor="text1"/>
          <w:sz w:val="28"/>
          <w:szCs w:val="28"/>
          <w:u w:val="single"/>
        </w:rPr>
        <w:t xml:space="preserve">Profit </w:t>
      </w:r>
      <w:r w:rsidR="00327181" w:rsidRPr="00327181">
        <w:rPr>
          <w:rFonts w:asciiTheme="minorHAnsi" w:hAnsiTheme="minorHAnsi" w:cs="Arial"/>
          <w:bCs/>
          <w:color w:val="000000" w:themeColor="text1"/>
          <w:sz w:val="28"/>
          <w:szCs w:val="28"/>
          <w:u w:val="single"/>
        </w:rPr>
        <w:t xml:space="preserve">increases </w:t>
      </w:r>
      <w:r w:rsidRPr="008E7568">
        <w:rPr>
          <w:rFonts w:asciiTheme="minorHAnsi" w:hAnsiTheme="minorHAnsi" w:cs="Arial"/>
          <w:bCs/>
          <w:color w:val="000000" w:themeColor="text1"/>
          <w:sz w:val="28"/>
          <w:szCs w:val="28"/>
          <w:u w:val="single"/>
        </w:rPr>
        <w:t>26</w:t>
      </w:r>
      <w:r w:rsidR="006A3223">
        <w:rPr>
          <w:rFonts w:asciiTheme="minorHAnsi" w:hAnsiTheme="minorHAnsi" w:cs="Arial"/>
          <w:bCs/>
          <w:color w:val="000000" w:themeColor="text1"/>
          <w:sz w:val="28"/>
          <w:szCs w:val="28"/>
          <w:u w:val="single"/>
        </w:rPr>
        <w:t>% compared to first quarter of</w:t>
      </w:r>
      <w:r w:rsidRPr="00327181">
        <w:rPr>
          <w:rFonts w:asciiTheme="minorHAnsi" w:hAnsiTheme="minorHAnsi" w:cs="Arial"/>
          <w:bCs/>
          <w:color w:val="000000" w:themeColor="text1"/>
          <w:sz w:val="28"/>
          <w:szCs w:val="28"/>
          <w:u w:val="single"/>
        </w:rPr>
        <w:t xml:space="preserve"> 2013</w:t>
      </w:r>
    </w:p>
    <w:p w:rsidR="009F49E2" w:rsidRPr="00327181" w:rsidRDefault="009F49E2" w:rsidP="009F49E2">
      <w:pPr>
        <w:pStyle w:val="ListParagraph"/>
        <w:numPr>
          <w:ilvl w:val="0"/>
          <w:numId w:val="1"/>
        </w:numPr>
        <w:autoSpaceDE w:val="0"/>
        <w:autoSpaceDN w:val="0"/>
        <w:adjustRightInd w:val="0"/>
        <w:contextualSpacing w:val="0"/>
        <w:jc w:val="both"/>
        <w:rPr>
          <w:rFonts w:asciiTheme="minorHAnsi" w:hAnsiTheme="minorHAnsi" w:cs="Arial"/>
          <w:bCs/>
          <w:color w:val="000000" w:themeColor="text1"/>
          <w:sz w:val="28"/>
          <w:szCs w:val="28"/>
        </w:rPr>
      </w:pPr>
      <w:r w:rsidRPr="00327181">
        <w:rPr>
          <w:rFonts w:asciiTheme="minorHAnsi" w:hAnsiTheme="minorHAnsi" w:cs="Arial"/>
          <w:bCs/>
          <w:color w:val="000000" w:themeColor="text1"/>
          <w:sz w:val="28"/>
          <w:szCs w:val="28"/>
          <w:u w:val="single"/>
        </w:rPr>
        <w:t xml:space="preserve">Consolidated total income stands at AED </w:t>
      </w:r>
      <w:r w:rsidR="006A3223">
        <w:rPr>
          <w:rFonts w:asciiTheme="minorHAnsi" w:hAnsiTheme="minorHAnsi" w:cs="Arial"/>
          <w:bCs/>
          <w:color w:val="000000" w:themeColor="text1"/>
          <w:sz w:val="28"/>
          <w:szCs w:val="28"/>
          <w:u w:val="single"/>
        </w:rPr>
        <w:t>738 million</w:t>
      </w:r>
    </w:p>
    <w:p w:rsidR="009F49E2" w:rsidRPr="00327181" w:rsidRDefault="009F49E2" w:rsidP="00327181">
      <w:pPr>
        <w:pStyle w:val="ListParagraph"/>
        <w:numPr>
          <w:ilvl w:val="0"/>
          <w:numId w:val="1"/>
        </w:numPr>
        <w:autoSpaceDE w:val="0"/>
        <w:autoSpaceDN w:val="0"/>
        <w:adjustRightInd w:val="0"/>
        <w:contextualSpacing w:val="0"/>
        <w:jc w:val="both"/>
        <w:rPr>
          <w:rFonts w:asciiTheme="minorHAnsi" w:hAnsiTheme="minorHAnsi" w:cs="Arial"/>
          <w:bCs/>
          <w:color w:val="000000" w:themeColor="text1"/>
          <w:sz w:val="28"/>
          <w:szCs w:val="28"/>
        </w:rPr>
      </w:pPr>
      <w:r w:rsidRPr="00327181">
        <w:rPr>
          <w:rFonts w:asciiTheme="minorHAnsi" w:hAnsiTheme="minorHAnsi" w:cs="Arial"/>
          <w:bCs/>
          <w:color w:val="000000" w:themeColor="text1"/>
          <w:sz w:val="28"/>
          <w:szCs w:val="28"/>
          <w:u w:val="single"/>
        </w:rPr>
        <w:t xml:space="preserve">Total assets as on March 31, 2014 is AED </w:t>
      </w:r>
      <w:r w:rsidR="006A3223">
        <w:rPr>
          <w:rFonts w:asciiTheme="minorHAnsi" w:hAnsiTheme="minorHAnsi" w:cs="Arial"/>
          <w:bCs/>
          <w:color w:val="000000" w:themeColor="text1"/>
          <w:sz w:val="28"/>
          <w:szCs w:val="28"/>
          <w:u w:val="single"/>
        </w:rPr>
        <w:t>13.2 billion</w:t>
      </w:r>
    </w:p>
    <w:p w:rsidR="008E7568" w:rsidRDefault="008E7568" w:rsidP="00552AFC">
      <w:pPr>
        <w:pStyle w:val="NormalWeb"/>
        <w:spacing w:before="0" w:beforeAutospacing="0" w:after="0" w:afterAutospacing="0" w:line="360" w:lineRule="auto"/>
        <w:jc w:val="both"/>
        <w:rPr>
          <w:rFonts w:asciiTheme="minorHAnsi" w:eastAsiaTheme="minorHAnsi" w:hAnsiTheme="minorHAnsi" w:cs="Tahoma"/>
          <w:b/>
          <w:color w:val="000000" w:themeColor="text1"/>
          <w:lang w:val="en-GB" w:eastAsia="en-GB"/>
        </w:rPr>
      </w:pPr>
    </w:p>
    <w:p w:rsidR="009F49E2" w:rsidRPr="00B15300" w:rsidRDefault="009F49E2" w:rsidP="00B15300">
      <w:pPr>
        <w:pStyle w:val="NormalWeb"/>
        <w:spacing w:before="0" w:beforeAutospacing="0" w:after="0" w:afterAutospacing="0" w:line="360" w:lineRule="auto"/>
        <w:jc w:val="both"/>
        <w:rPr>
          <w:rFonts w:asciiTheme="minorHAnsi" w:hAnsiTheme="minorHAnsi" w:cs="Tahoma"/>
          <w:color w:val="000000" w:themeColor="text1"/>
          <w:sz w:val="22"/>
          <w:szCs w:val="22"/>
          <w:lang w:val="en-GB" w:eastAsia="en-GB"/>
        </w:rPr>
      </w:pPr>
      <w:r w:rsidRPr="00B15300">
        <w:rPr>
          <w:rFonts w:asciiTheme="minorHAnsi" w:eastAsiaTheme="minorHAnsi" w:hAnsiTheme="minorHAnsi" w:cs="Tahoma"/>
          <w:b/>
          <w:color w:val="000000" w:themeColor="text1"/>
          <w:sz w:val="22"/>
          <w:szCs w:val="22"/>
          <w:lang w:val="en-GB" w:eastAsia="en-GB"/>
        </w:rPr>
        <w:t xml:space="preserve">Dubai, </w:t>
      </w:r>
      <w:r w:rsidR="008E7568" w:rsidRPr="004D56F4">
        <w:rPr>
          <w:rFonts w:asciiTheme="minorHAnsi" w:eastAsiaTheme="minorHAnsi" w:hAnsiTheme="minorHAnsi" w:cs="Tahoma"/>
          <w:b/>
          <w:color w:val="000000" w:themeColor="text1"/>
          <w:sz w:val="22"/>
          <w:szCs w:val="22"/>
          <w:lang w:val="en-GB" w:eastAsia="en-GB"/>
        </w:rPr>
        <w:t>May</w:t>
      </w:r>
      <w:r w:rsidRPr="004D56F4">
        <w:rPr>
          <w:rFonts w:asciiTheme="minorHAnsi" w:eastAsiaTheme="minorHAnsi" w:hAnsiTheme="minorHAnsi" w:cs="Tahoma"/>
          <w:b/>
          <w:color w:val="000000" w:themeColor="text1"/>
          <w:sz w:val="22"/>
          <w:szCs w:val="22"/>
          <w:lang w:val="en-GB" w:eastAsia="en-GB"/>
        </w:rPr>
        <w:t xml:space="preserve"> </w:t>
      </w:r>
      <w:r w:rsidR="00797347" w:rsidRPr="004D56F4">
        <w:rPr>
          <w:rFonts w:asciiTheme="minorHAnsi" w:eastAsiaTheme="minorHAnsi" w:hAnsiTheme="minorHAnsi" w:cs="Tahoma"/>
          <w:b/>
          <w:color w:val="000000" w:themeColor="text1"/>
          <w:sz w:val="22"/>
          <w:szCs w:val="22"/>
          <w:lang w:val="en-GB" w:eastAsia="en-GB"/>
        </w:rPr>
        <w:t>4</w:t>
      </w:r>
      <w:r w:rsidRPr="00B15300">
        <w:rPr>
          <w:rFonts w:asciiTheme="minorHAnsi" w:eastAsiaTheme="minorHAnsi" w:hAnsiTheme="minorHAnsi" w:cs="Tahoma"/>
          <w:b/>
          <w:color w:val="000000" w:themeColor="text1"/>
          <w:sz w:val="22"/>
          <w:szCs w:val="22"/>
          <w:lang w:val="en-GB" w:eastAsia="en-GB"/>
        </w:rPr>
        <w:t xml:space="preserve">, 2014: </w:t>
      </w:r>
      <w:r w:rsidRPr="00B15300">
        <w:rPr>
          <w:rFonts w:asciiTheme="minorHAnsi" w:hAnsiTheme="minorHAnsi" w:cs="Tahoma"/>
          <w:bCs/>
          <w:sz w:val="22"/>
          <w:szCs w:val="22"/>
        </w:rPr>
        <w:t>Dubai Investments PJSC [DI], the leading investment</w:t>
      </w:r>
      <w:r w:rsidRPr="00B15300">
        <w:rPr>
          <w:rFonts w:asciiTheme="minorHAnsi" w:hAnsiTheme="minorHAnsi" w:cs="Tahoma"/>
          <w:bCs/>
          <w:sz w:val="22"/>
          <w:szCs w:val="22"/>
          <w:lang w:val="en"/>
        </w:rPr>
        <w:t xml:space="preserve"> </w:t>
      </w:r>
      <w:r w:rsidRPr="00B15300">
        <w:rPr>
          <w:rFonts w:asciiTheme="minorHAnsi" w:hAnsiTheme="minorHAnsi" w:cs="Tahoma"/>
          <w:bCs/>
          <w:sz w:val="22"/>
          <w:szCs w:val="22"/>
        </w:rPr>
        <w:t xml:space="preserve">company listed on the Dubai Financial Market [DFM], today </w:t>
      </w:r>
      <w:r w:rsidR="00905DAA" w:rsidRPr="00B15300">
        <w:rPr>
          <w:rFonts w:asciiTheme="minorHAnsi" w:hAnsiTheme="minorHAnsi" w:cs="Tahoma"/>
          <w:bCs/>
          <w:sz w:val="22"/>
          <w:szCs w:val="22"/>
        </w:rPr>
        <w:t xml:space="preserve">announced </w:t>
      </w:r>
      <w:r w:rsidR="00797347">
        <w:rPr>
          <w:rFonts w:asciiTheme="minorHAnsi" w:hAnsiTheme="minorHAnsi" w:cs="Tahoma"/>
          <w:bCs/>
          <w:sz w:val="22"/>
          <w:szCs w:val="22"/>
        </w:rPr>
        <w:t xml:space="preserve">a jump in its </w:t>
      </w:r>
      <w:r w:rsidR="000E6585" w:rsidRPr="00B15300">
        <w:rPr>
          <w:rFonts w:asciiTheme="minorHAnsi" w:hAnsiTheme="minorHAnsi" w:cs="Tahoma"/>
          <w:color w:val="000000" w:themeColor="text1"/>
          <w:sz w:val="22"/>
          <w:szCs w:val="22"/>
          <w:lang w:val="en-GB" w:eastAsia="en-GB"/>
        </w:rPr>
        <w:t>n</w:t>
      </w:r>
      <w:r w:rsidRPr="00B15300">
        <w:rPr>
          <w:rFonts w:asciiTheme="minorHAnsi" w:hAnsiTheme="minorHAnsi" w:cs="Tahoma"/>
          <w:color w:val="000000" w:themeColor="text1"/>
          <w:sz w:val="22"/>
          <w:szCs w:val="22"/>
          <w:lang w:val="en-GB" w:eastAsia="en-GB"/>
        </w:rPr>
        <w:t>et profit</w:t>
      </w:r>
      <w:r w:rsidR="00797347">
        <w:rPr>
          <w:rFonts w:asciiTheme="minorHAnsi" w:hAnsiTheme="minorHAnsi" w:cs="Tahoma"/>
          <w:color w:val="000000" w:themeColor="text1"/>
          <w:sz w:val="22"/>
          <w:szCs w:val="22"/>
          <w:lang w:val="en-GB" w:eastAsia="en-GB"/>
        </w:rPr>
        <w:t xml:space="preserve">s by 26% to </w:t>
      </w:r>
      <w:r w:rsidRPr="00B15300">
        <w:rPr>
          <w:rFonts w:asciiTheme="minorHAnsi" w:hAnsiTheme="minorHAnsi" w:cs="Tahoma"/>
          <w:color w:val="000000" w:themeColor="text1"/>
          <w:sz w:val="22"/>
          <w:szCs w:val="22"/>
          <w:lang w:val="en-GB" w:eastAsia="en-GB"/>
        </w:rPr>
        <w:t xml:space="preserve">AED 265 million </w:t>
      </w:r>
      <w:r w:rsidR="004D56F4">
        <w:rPr>
          <w:rFonts w:asciiTheme="minorHAnsi" w:hAnsiTheme="minorHAnsi" w:cs="Tahoma"/>
          <w:color w:val="000000" w:themeColor="text1"/>
          <w:sz w:val="22"/>
          <w:szCs w:val="22"/>
          <w:lang w:val="en-GB" w:eastAsia="en-GB"/>
        </w:rPr>
        <w:t>for</w:t>
      </w:r>
      <w:r w:rsidRPr="00B15300">
        <w:rPr>
          <w:rFonts w:asciiTheme="minorHAnsi" w:hAnsiTheme="minorHAnsi" w:cs="Tahoma"/>
          <w:color w:val="000000" w:themeColor="text1"/>
          <w:sz w:val="22"/>
          <w:szCs w:val="22"/>
          <w:lang w:val="en-GB" w:eastAsia="en-GB"/>
        </w:rPr>
        <w:t xml:space="preserve"> the first quarter of 2014, compared to AED 211 million </w:t>
      </w:r>
      <w:bookmarkStart w:id="0" w:name="_GoBack"/>
      <w:bookmarkEnd w:id="0"/>
      <w:r w:rsidRPr="00B15300">
        <w:rPr>
          <w:rFonts w:asciiTheme="minorHAnsi" w:hAnsiTheme="minorHAnsi" w:cs="Tahoma"/>
          <w:color w:val="000000" w:themeColor="text1"/>
          <w:sz w:val="22"/>
          <w:szCs w:val="22"/>
          <w:lang w:val="en-GB" w:eastAsia="en-GB"/>
        </w:rPr>
        <w:t xml:space="preserve">in the </w:t>
      </w:r>
      <w:r w:rsidR="00797347">
        <w:rPr>
          <w:rFonts w:asciiTheme="minorHAnsi" w:hAnsiTheme="minorHAnsi" w:cs="Tahoma"/>
          <w:color w:val="000000" w:themeColor="text1"/>
          <w:sz w:val="22"/>
          <w:szCs w:val="22"/>
          <w:lang w:val="en-GB" w:eastAsia="en-GB"/>
        </w:rPr>
        <w:t>same period last year</w:t>
      </w:r>
      <w:r w:rsidRPr="00B15300">
        <w:rPr>
          <w:rFonts w:asciiTheme="minorHAnsi" w:hAnsiTheme="minorHAnsi" w:cs="Tahoma"/>
          <w:color w:val="000000" w:themeColor="text1"/>
          <w:sz w:val="22"/>
          <w:szCs w:val="22"/>
          <w:lang w:val="en-GB" w:eastAsia="en-GB"/>
        </w:rPr>
        <w:t>.</w:t>
      </w:r>
    </w:p>
    <w:p w:rsidR="009F49E2" w:rsidRPr="00B15300" w:rsidRDefault="009F49E2" w:rsidP="00B15300">
      <w:pPr>
        <w:pStyle w:val="NormalWeb"/>
        <w:spacing w:before="0" w:beforeAutospacing="0" w:after="0" w:afterAutospacing="0" w:line="360" w:lineRule="auto"/>
        <w:jc w:val="both"/>
        <w:rPr>
          <w:rFonts w:asciiTheme="minorHAnsi" w:hAnsiTheme="minorHAnsi" w:cs="Tahoma"/>
          <w:color w:val="000000" w:themeColor="text1"/>
          <w:sz w:val="22"/>
          <w:szCs w:val="22"/>
          <w:lang w:val="en-GB" w:eastAsia="en-GB"/>
        </w:rPr>
      </w:pPr>
    </w:p>
    <w:p w:rsidR="009F49E2" w:rsidRPr="00B15300" w:rsidRDefault="009F49E2" w:rsidP="00B15300">
      <w:pPr>
        <w:pStyle w:val="NormalWeb"/>
        <w:spacing w:before="0" w:beforeAutospacing="0" w:after="0" w:afterAutospacing="0" w:line="360" w:lineRule="auto"/>
        <w:jc w:val="both"/>
        <w:rPr>
          <w:rFonts w:asciiTheme="minorHAnsi" w:hAnsiTheme="minorHAnsi" w:cs="Tahoma"/>
          <w:color w:val="000000" w:themeColor="text1"/>
          <w:sz w:val="22"/>
          <w:szCs w:val="22"/>
          <w:lang w:val="en-GB" w:eastAsia="en-GB"/>
        </w:rPr>
      </w:pPr>
      <w:r w:rsidRPr="00B15300">
        <w:rPr>
          <w:rFonts w:asciiTheme="minorHAnsi" w:hAnsiTheme="minorHAnsi" w:cs="Tahoma"/>
          <w:color w:val="000000" w:themeColor="text1"/>
          <w:sz w:val="22"/>
          <w:szCs w:val="22"/>
          <w:lang w:val="en-GB" w:eastAsia="en-GB"/>
        </w:rPr>
        <w:t xml:space="preserve">DI reported a consolidated total income of AED </w:t>
      </w:r>
      <w:r w:rsidR="006A3223" w:rsidRPr="00B15300">
        <w:rPr>
          <w:rFonts w:asciiTheme="minorHAnsi" w:hAnsiTheme="minorHAnsi" w:cs="Tahoma"/>
          <w:color w:val="000000" w:themeColor="text1"/>
          <w:sz w:val="22"/>
          <w:szCs w:val="22"/>
          <w:lang w:val="en-GB" w:eastAsia="en-GB"/>
        </w:rPr>
        <w:t>738 m</w:t>
      </w:r>
      <w:r w:rsidRPr="00B15300">
        <w:rPr>
          <w:rFonts w:asciiTheme="minorHAnsi" w:hAnsiTheme="minorHAnsi" w:cs="Tahoma"/>
          <w:color w:val="000000" w:themeColor="text1"/>
          <w:sz w:val="22"/>
          <w:szCs w:val="22"/>
          <w:lang w:val="en-GB" w:eastAsia="en-GB"/>
        </w:rPr>
        <w:t>illion, as against AED 649 million in the same period last year</w:t>
      </w:r>
      <w:r w:rsidR="00552AFC" w:rsidRPr="00B15300">
        <w:rPr>
          <w:rFonts w:asciiTheme="minorHAnsi" w:hAnsiTheme="minorHAnsi" w:cs="Tahoma"/>
          <w:color w:val="000000" w:themeColor="text1"/>
          <w:sz w:val="22"/>
          <w:szCs w:val="22"/>
          <w:lang w:val="en-GB" w:eastAsia="en-GB"/>
        </w:rPr>
        <w:t>,</w:t>
      </w:r>
      <w:r w:rsidRPr="00B15300">
        <w:rPr>
          <w:rFonts w:asciiTheme="minorHAnsi" w:hAnsiTheme="minorHAnsi" w:cs="Tahoma"/>
          <w:color w:val="000000" w:themeColor="text1"/>
          <w:sz w:val="22"/>
          <w:szCs w:val="22"/>
          <w:lang w:val="en-GB" w:eastAsia="en-GB"/>
        </w:rPr>
        <w:t xml:space="preserve"> </w:t>
      </w:r>
      <w:r w:rsidR="00552AFC" w:rsidRPr="00B15300">
        <w:rPr>
          <w:rFonts w:asciiTheme="minorHAnsi" w:hAnsiTheme="minorHAnsi" w:cs="Tahoma"/>
          <w:color w:val="000000" w:themeColor="text1"/>
          <w:sz w:val="22"/>
          <w:szCs w:val="22"/>
          <w:lang w:val="en-GB" w:eastAsia="en-GB"/>
        </w:rPr>
        <w:t>while</w:t>
      </w:r>
      <w:r w:rsidRPr="00B15300">
        <w:rPr>
          <w:rFonts w:asciiTheme="minorHAnsi" w:hAnsiTheme="minorHAnsi" w:cs="Tahoma"/>
          <w:color w:val="000000" w:themeColor="text1"/>
          <w:sz w:val="22"/>
          <w:szCs w:val="22"/>
          <w:lang w:val="en-GB" w:eastAsia="en-GB"/>
        </w:rPr>
        <w:t xml:space="preserve"> the total assets amount</w:t>
      </w:r>
      <w:r w:rsidR="00552AFC" w:rsidRPr="00B15300">
        <w:rPr>
          <w:rFonts w:asciiTheme="minorHAnsi" w:hAnsiTheme="minorHAnsi" w:cs="Tahoma"/>
          <w:color w:val="000000" w:themeColor="text1"/>
          <w:sz w:val="22"/>
          <w:szCs w:val="22"/>
          <w:lang w:val="en-GB" w:eastAsia="en-GB"/>
        </w:rPr>
        <w:t>ed</w:t>
      </w:r>
      <w:r w:rsidRPr="00B15300">
        <w:rPr>
          <w:rFonts w:asciiTheme="minorHAnsi" w:hAnsiTheme="minorHAnsi" w:cs="Tahoma"/>
          <w:color w:val="000000" w:themeColor="text1"/>
          <w:sz w:val="22"/>
          <w:szCs w:val="22"/>
          <w:lang w:val="en-GB" w:eastAsia="en-GB"/>
        </w:rPr>
        <w:t xml:space="preserve"> to AED </w:t>
      </w:r>
      <w:r w:rsidR="006A3223" w:rsidRPr="00B15300">
        <w:rPr>
          <w:rFonts w:asciiTheme="minorHAnsi" w:hAnsiTheme="minorHAnsi" w:cs="Tahoma"/>
          <w:color w:val="000000" w:themeColor="text1"/>
          <w:sz w:val="22"/>
          <w:szCs w:val="22"/>
          <w:lang w:val="en-GB" w:eastAsia="en-GB"/>
        </w:rPr>
        <w:t>13.2</w:t>
      </w:r>
      <w:r w:rsidRPr="00B15300">
        <w:rPr>
          <w:rFonts w:asciiTheme="minorHAnsi" w:hAnsiTheme="minorHAnsi" w:cs="Tahoma"/>
          <w:color w:val="000000" w:themeColor="text1"/>
          <w:sz w:val="22"/>
          <w:szCs w:val="22"/>
          <w:lang w:val="en-GB" w:eastAsia="en-GB"/>
        </w:rPr>
        <w:t xml:space="preserve"> billion, compared to AED 12.5 billion as on March 31, 2013. DI’s net worth increased to AED </w:t>
      </w:r>
      <w:r w:rsidR="006A3223" w:rsidRPr="00B15300">
        <w:rPr>
          <w:rFonts w:asciiTheme="minorHAnsi" w:hAnsiTheme="minorHAnsi" w:cs="Tahoma"/>
          <w:color w:val="000000" w:themeColor="text1"/>
          <w:sz w:val="22"/>
          <w:szCs w:val="22"/>
          <w:lang w:val="en-GB" w:eastAsia="en-GB"/>
        </w:rPr>
        <w:t>9.3</w:t>
      </w:r>
      <w:r w:rsidRPr="00B15300">
        <w:rPr>
          <w:rFonts w:asciiTheme="minorHAnsi" w:hAnsiTheme="minorHAnsi" w:cs="Tahoma"/>
          <w:color w:val="000000" w:themeColor="text1"/>
          <w:sz w:val="22"/>
          <w:szCs w:val="22"/>
          <w:lang w:val="en-GB" w:eastAsia="en-GB"/>
        </w:rPr>
        <w:t xml:space="preserve"> billion, compared to AED 8.7 billion at the end of Q1 2013.</w:t>
      </w:r>
    </w:p>
    <w:p w:rsidR="009F49E2" w:rsidRPr="00B15300" w:rsidRDefault="009F49E2" w:rsidP="00B15300">
      <w:pPr>
        <w:pStyle w:val="NormalWeb"/>
        <w:spacing w:before="0" w:beforeAutospacing="0" w:after="0" w:afterAutospacing="0" w:line="360" w:lineRule="auto"/>
        <w:jc w:val="both"/>
        <w:rPr>
          <w:rFonts w:asciiTheme="minorHAnsi" w:hAnsiTheme="minorHAnsi" w:cs="Tahoma"/>
          <w:color w:val="000000" w:themeColor="text1"/>
          <w:sz w:val="22"/>
          <w:szCs w:val="22"/>
          <w:lang w:val="en-GB" w:eastAsia="en-GB"/>
        </w:rPr>
      </w:pPr>
    </w:p>
    <w:p w:rsidR="00797347" w:rsidRDefault="009F49E2" w:rsidP="00B15300">
      <w:pPr>
        <w:pStyle w:val="NormalWeb"/>
        <w:spacing w:before="0" w:beforeAutospacing="0" w:after="0" w:afterAutospacing="0" w:line="360" w:lineRule="auto"/>
        <w:jc w:val="both"/>
        <w:rPr>
          <w:rFonts w:asciiTheme="minorHAnsi" w:hAnsiTheme="minorHAnsi" w:cs="Tahoma"/>
          <w:color w:val="000000" w:themeColor="text1"/>
          <w:sz w:val="22"/>
          <w:szCs w:val="22"/>
          <w:lang w:val="en-GB" w:eastAsia="en-GB"/>
        </w:rPr>
      </w:pPr>
      <w:r w:rsidRPr="00B15300">
        <w:rPr>
          <w:rFonts w:asciiTheme="minorHAnsi" w:hAnsiTheme="minorHAnsi" w:cs="Tahoma"/>
          <w:color w:val="000000" w:themeColor="text1"/>
          <w:sz w:val="22"/>
          <w:szCs w:val="22"/>
          <w:lang w:val="en-GB" w:eastAsia="en-GB"/>
        </w:rPr>
        <w:t xml:space="preserve">The annualized return on equity achieved for the period was </w:t>
      </w:r>
      <w:r w:rsidR="00797347">
        <w:rPr>
          <w:rFonts w:asciiTheme="minorHAnsi" w:hAnsiTheme="minorHAnsi" w:cs="Tahoma"/>
          <w:color w:val="000000" w:themeColor="text1"/>
          <w:sz w:val="22"/>
          <w:szCs w:val="22"/>
          <w:lang w:val="en-GB" w:eastAsia="en-GB"/>
        </w:rPr>
        <w:t>11.4</w:t>
      </w:r>
      <w:r w:rsidRPr="00B15300">
        <w:rPr>
          <w:rFonts w:asciiTheme="minorHAnsi" w:hAnsiTheme="minorHAnsi" w:cs="Tahoma"/>
          <w:color w:val="000000" w:themeColor="text1"/>
          <w:sz w:val="22"/>
          <w:szCs w:val="22"/>
          <w:lang w:val="en-GB" w:eastAsia="en-GB"/>
        </w:rPr>
        <w:t xml:space="preserve">%, as against </w:t>
      </w:r>
      <w:r w:rsidR="00797347">
        <w:rPr>
          <w:rFonts w:asciiTheme="minorHAnsi" w:hAnsiTheme="minorHAnsi" w:cs="Tahoma"/>
          <w:color w:val="000000" w:themeColor="text1"/>
          <w:sz w:val="22"/>
          <w:szCs w:val="22"/>
          <w:lang w:val="en-GB" w:eastAsia="en-GB"/>
        </w:rPr>
        <w:t>9.7</w:t>
      </w:r>
      <w:r w:rsidRPr="00B15300">
        <w:rPr>
          <w:rFonts w:asciiTheme="minorHAnsi" w:hAnsiTheme="minorHAnsi" w:cs="Tahoma"/>
          <w:color w:val="000000" w:themeColor="text1"/>
          <w:sz w:val="22"/>
          <w:szCs w:val="22"/>
          <w:lang w:val="en-GB" w:eastAsia="en-GB"/>
        </w:rPr>
        <w:t xml:space="preserve">% in the comparable period last year. </w:t>
      </w:r>
    </w:p>
    <w:p w:rsidR="00797347" w:rsidRDefault="00797347" w:rsidP="00B15300">
      <w:pPr>
        <w:pStyle w:val="NormalWeb"/>
        <w:spacing w:before="0" w:beforeAutospacing="0" w:after="0" w:afterAutospacing="0" w:line="360" w:lineRule="auto"/>
        <w:jc w:val="both"/>
        <w:rPr>
          <w:rFonts w:asciiTheme="minorHAnsi" w:hAnsiTheme="minorHAnsi" w:cs="Tahoma"/>
          <w:color w:val="000000" w:themeColor="text1"/>
          <w:sz w:val="22"/>
          <w:szCs w:val="22"/>
          <w:lang w:val="en-GB" w:eastAsia="en-GB"/>
        </w:rPr>
      </w:pPr>
    </w:p>
    <w:p w:rsidR="00797347" w:rsidRDefault="00797347" w:rsidP="00797347">
      <w:pPr>
        <w:pStyle w:val="NormalWeb"/>
        <w:spacing w:before="0" w:beforeAutospacing="0" w:after="0" w:afterAutospacing="0" w:line="360" w:lineRule="auto"/>
        <w:jc w:val="both"/>
        <w:rPr>
          <w:rFonts w:asciiTheme="minorHAnsi" w:hAnsiTheme="minorHAnsi" w:cs="Tahoma"/>
          <w:bCs/>
          <w:sz w:val="22"/>
          <w:szCs w:val="22"/>
        </w:rPr>
      </w:pPr>
      <w:r w:rsidRPr="00B15300">
        <w:rPr>
          <w:rFonts w:asciiTheme="minorHAnsi" w:hAnsiTheme="minorHAnsi" w:cs="Tahoma"/>
          <w:bCs/>
          <w:sz w:val="22"/>
          <w:szCs w:val="22"/>
        </w:rPr>
        <w:t xml:space="preserve">Khalid Bin Kalban, Managing Director and Chief Executive Officer, Dubai Investments PJSC, said: “We are delighted with the </w:t>
      </w:r>
      <w:r>
        <w:rPr>
          <w:rFonts w:asciiTheme="minorHAnsi" w:hAnsiTheme="minorHAnsi" w:cs="Tahoma"/>
          <w:bCs/>
          <w:sz w:val="22"/>
          <w:szCs w:val="22"/>
        </w:rPr>
        <w:t>results</w:t>
      </w:r>
      <w:r w:rsidRPr="00B15300">
        <w:rPr>
          <w:rFonts w:asciiTheme="minorHAnsi" w:hAnsiTheme="minorHAnsi" w:cs="Tahoma"/>
          <w:bCs/>
          <w:sz w:val="22"/>
          <w:szCs w:val="22"/>
        </w:rPr>
        <w:t xml:space="preserve"> in the first quarter of 2014. While all our businesses have contributed, we have seen significant growth trends in our real estate and manufacturing portfolio. This comes amidst surging investor confidence across the UAE and region, and encouraging trends for our diversified businesses.”</w:t>
      </w:r>
    </w:p>
    <w:p w:rsidR="00797347" w:rsidRDefault="00797347" w:rsidP="00797347">
      <w:pPr>
        <w:pStyle w:val="NormalWeb"/>
        <w:spacing w:before="0" w:beforeAutospacing="0" w:after="0" w:afterAutospacing="0" w:line="360" w:lineRule="auto"/>
        <w:jc w:val="both"/>
        <w:rPr>
          <w:rFonts w:asciiTheme="minorHAnsi" w:hAnsiTheme="minorHAnsi" w:cs="Tahoma"/>
          <w:bCs/>
          <w:sz w:val="22"/>
          <w:szCs w:val="22"/>
        </w:rPr>
      </w:pPr>
    </w:p>
    <w:p w:rsidR="00797347" w:rsidRDefault="00797347" w:rsidP="00797347">
      <w:pPr>
        <w:pStyle w:val="NormalWeb"/>
        <w:spacing w:before="0" w:beforeAutospacing="0" w:after="0" w:afterAutospacing="0" w:line="360" w:lineRule="auto"/>
        <w:jc w:val="both"/>
        <w:rPr>
          <w:rFonts w:asciiTheme="minorHAnsi" w:hAnsiTheme="minorHAnsi" w:cs="Tahoma"/>
          <w:bCs/>
          <w:sz w:val="22"/>
          <w:szCs w:val="22"/>
        </w:rPr>
      </w:pPr>
      <w:r>
        <w:rPr>
          <w:rFonts w:asciiTheme="minorHAnsi" w:hAnsiTheme="minorHAnsi" w:cs="Tahoma"/>
          <w:bCs/>
          <w:sz w:val="22"/>
          <w:szCs w:val="22"/>
        </w:rPr>
        <w:t xml:space="preserve">He added: “Subsequent to the highly successful issue of USD 300 million Sukuk by Dubai Investments Park Development Company, a subsidiary of the Group and increase in cash generated from Group’s operations, the liquidity position has improved significantly and the Group is having available cash balances of more than AED 1 billion. This enhanced liquidity will enable DI to take advantage of market </w:t>
      </w:r>
      <w:r>
        <w:rPr>
          <w:rFonts w:asciiTheme="minorHAnsi" w:hAnsiTheme="minorHAnsi" w:cs="Tahoma"/>
          <w:bCs/>
          <w:sz w:val="22"/>
          <w:szCs w:val="22"/>
        </w:rPr>
        <w:lastRenderedPageBreak/>
        <w:t>opportunities and several projects are under consideration. We have a strong thrust in developing our real estate business, riding on the crest of the wave of the current upswing in the sector.</w:t>
      </w:r>
    </w:p>
    <w:p w:rsidR="00797347" w:rsidRDefault="00797347" w:rsidP="00797347">
      <w:pPr>
        <w:pStyle w:val="NormalWeb"/>
        <w:spacing w:before="0" w:beforeAutospacing="0" w:after="0" w:afterAutospacing="0" w:line="360" w:lineRule="auto"/>
        <w:jc w:val="both"/>
        <w:rPr>
          <w:rFonts w:asciiTheme="minorHAnsi" w:hAnsiTheme="minorHAnsi" w:cs="Tahoma"/>
          <w:bCs/>
          <w:sz w:val="22"/>
          <w:szCs w:val="22"/>
        </w:rPr>
      </w:pPr>
    </w:p>
    <w:p w:rsidR="00797347" w:rsidRDefault="00797347" w:rsidP="00797347">
      <w:pPr>
        <w:pStyle w:val="NormalWeb"/>
        <w:spacing w:before="0" w:beforeAutospacing="0" w:after="0" w:afterAutospacing="0" w:line="360" w:lineRule="auto"/>
        <w:jc w:val="both"/>
        <w:rPr>
          <w:rFonts w:asciiTheme="minorHAnsi" w:hAnsiTheme="minorHAnsi" w:cs="Tahoma"/>
          <w:bCs/>
          <w:sz w:val="22"/>
          <w:szCs w:val="22"/>
        </w:rPr>
      </w:pPr>
      <w:r w:rsidRPr="00B15300">
        <w:rPr>
          <w:rFonts w:asciiTheme="minorHAnsi" w:hAnsiTheme="minorHAnsi" w:cs="Tahoma"/>
          <w:bCs/>
          <w:sz w:val="22"/>
          <w:szCs w:val="22"/>
        </w:rPr>
        <w:t>“We are excited about the outlook for the rest of 2014</w:t>
      </w:r>
      <w:r>
        <w:rPr>
          <w:rFonts w:asciiTheme="minorHAnsi" w:hAnsiTheme="minorHAnsi" w:cs="Tahoma"/>
          <w:bCs/>
          <w:sz w:val="22"/>
          <w:szCs w:val="22"/>
        </w:rPr>
        <w:t xml:space="preserve"> due to improved performance of our underlying entities operating across all sectors</w:t>
      </w:r>
      <w:r w:rsidRPr="00B15300">
        <w:rPr>
          <w:rFonts w:asciiTheme="minorHAnsi" w:hAnsiTheme="minorHAnsi" w:cs="Tahoma"/>
          <w:bCs/>
          <w:sz w:val="22"/>
          <w:szCs w:val="22"/>
        </w:rPr>
        <w:t>.</w:t>
      </w:r>
      <w:r>
        <w:rPr>
          <w:rFonts w:asciiTheme="minorHAnsi" w:hAnsiTheme="minorHAnsi" w:cs="Tahoma"/>
          <w:bCs/>
          <w:sz w:val="22"/>
          <w:szCs w:val="22"/>
        </w:rPr>
        <w:t xml:space="preserve"> Further, we are edging towards completion of a divestment transaction which will significantly contribute to the Group’s profitability.”</w:t>
      </w:r>
    </w:p>
    <w:p w:rsidR="004D56F4" w:rsidRDefault="004D56F4" w:rsidP="00797347">
      <w:pPr>
        <w:pStyle w:val="NormalWeb"/>
        <w:spacing w:before="0" w:beforeAutospacing="0" w:after="0" w:afterAutospacing="0" w:line="360" w:lineRule="auto"/>
        <w:jc w:val="both"/>
        <w:rPr>
          <w:rFonts w:asciiTheme="minorHAnsi" w:hAnsiTheme="minorHAnsi" w:cs="Tahoma"/>
          <w:bCs/>
          <w:sz w:val="22"/>
          <w:szCs w:val="22"/>
        </w:rPr>
      </w:pPr>
    </w:p>
    <w:p w:rsidR="004D56F4" w:rsidRPr="004D56F4" w:rsidRDefault="004D56F4" w:rsidP="004D56F4">
      <w:pPr>
        <w:spacing w:after="0" w:line="240" w:lineRule="auto"/>
        <w:jc w:val="both"/>
        <w:rPr>
          <w:b/>
          <w:sz w:val="18"/>
          <w:szCs w:val="18"/>
          <w:u w:val="single"/>
          <w:lang w:val="en-IN"/>
        </w:rPr>
      </w:pPr>
      <w:r w:rsidRPr="004D56F4">
        <w:rPr>
          <w:b/>
          <w:sz w:val="18"/>
          <w:szCs w:val="18"/>
          <w:u w:val="single"/>
          <w:lang w:val="en-IN"/>
        </w:rPr>
        <w:t xml:space="preserve">About Dubai Investments: </w:t>
      </w:r>
    </w:p>
    <w:p w:rsidR="004D56F4" w:rsidRPr="004D56F4" w:rsidRDefault="004D56F4" w:rsidP="004D56F4">
      <w:pPr>
        <w:spacing w:after="0" w:line="240" w:lineRule="auto"/>
        <w:jc w:val="both"/>
        <w:rPr>
          <w:b/>
          <w:sz w:val="18"/>
          <w:szCs w:val="18"/>
          <w:lang w:val="en-IN"/>
        </w:rPr>
      </w:pPr>
    </w:p>
    <w:p w:rsidR="004D56F4" w:rsidRPr="004D56F4" w:rsidRDefault="004D56F4" w:rsidP="004D56F4">
      <w:pPr>
        <w:spacing w:after="0" w:line="240" w:lineRule="auto"/>
        <w:jc w:val="both"/>
        <w:rPr>
          <w:rFonts w:cs="Arial"/>
          <w:sz w:val="18"/>
          <w:szCs w:val="18"/>
        </w:rPr>
      </w:pPr>
      <w:r w:rsidRPr="004D56F4">
        <w:rPr>
          <w:rFonts w:cs="Arial"/>
          <w:sz w:val="18"/>
          <w:szCs w:val="18"/>
          <w:lang w:eastAsia="en-IN"/>
        </w:rPr>
        <w:t xml:space="preserve">Incorporated in 1995, Dubai Investments PJSC is a leading investment company listed on Dubai Financial Market with over 19,894 shareholders, and paid-up capital of AED3.5 billion. </w:t>
      </w:r>
      <w:r w:rsidRPr="004D56F4">
        <w:rPr>
          <w:rFonts w:cs="Arial"/>
          <w:sz w:val="18"/>
          <w:szCs w:val="18"/>
        </w:rPr>
        <w:t>The company works in manufacturing, financial investments, real estate development and mergers and acquisitions. The portfolio comprises of six large investment units – Glass LLC, Dubai Investments Industries [DII], Masharie Company LLC, Dubai Investment Park [DIP], DI Real Estate Company [DIRC] and Al Taif Investment.</w:t>
      </w:r>
    </w:p>
    <w:p w:rsidR="004D56F4" w:rsidRPr="004D56F4" w:rsidRDefault="004D56F4" w:rsidP="004D56F4">
      <w:pPr>
        <w:spacing w:after="0" w:line="240" w:lineRule="auto"/>
        <w:jc w:val="both"/>
        <w:rPr>
          <w:rFonts w:cs="Arial"/>
          <w:sz w:val="18"/>
          <w:szCs w:val="18"/>
        </w:rPr>
      </w:pPr>
    </w:p>
    <w:p w:rsidR="004D56F4" w:rsidRPr="004D56F4" w:rsidRDefault="004D56F4" w:rsidP="004D56F4">
      <w:pPr>
        <w:spacing w:after="0" w:line="240" w:lineRule="auto"/>
        <w:jc w:val="both"/>
        <w:rPr>
          <w:rFonts w:cs="Arial"/>
          <w:sz w:val="18"/>
          <w:szCs w:val="18"/>
        </w:rPr>
      </w:pPr>
      <w:r w:rsidRPr="004D56F4">
        <w:rPr>
          <w:rFonts w:cs="Arial"/>
          <w:sz w:val="18"/>
          <w:szCs w:val="18"/>
        </w:rPr>
        <w:t>DI owns around 40 subsidiaries and joint ventures encompassing a diverse range of sectors including manufacturing of construction-related materials, food and related fast moving consumer goods, pharmaceuticals, industrial and commercial properties, real estate management and property development, marketing and sales, information technology solutions, driver education, district cooling, and financial investments.</w:t>
      </w:r>
    </w:p>
    <w:p w:rsidR="004D56F4" w:rsidRPr="004D56F4" w:rsidRDefault="004D56F4" w:rsidP="004D56F4">
      <w:pPr>
        <w:spacing w:after="0" w:line="240" w:lineRule="auto"/>
        <w:jc w:val="both"/>
        <w:rPr>
          <w:rFonts w:cs="Arial"/>
          <w:sz w:val="18"/>
          <w:szCs w:val="18"/>
        </w:rPr>
      </w:pPr>
    </w:p>
    <w:p w:rsidR="004D56F4" w:rsidRPr="004D56F4" w:rsidRDefault="004D56F4" w:rsidP="004D56F4">
      <w:pPr>
        <w:spacing w:after="0" w:line="240" w:lineRule="auto"/>
        <w:jc w:val="both"/>
        <w:rPr>
          <w:rFonts w:cs="Arial"/>
          <w:sz w:val="18"/>
          <w:szCs w:val="18"/>
          <w:lang w:eastAsia="en-IN"/>
        </w:rPr>
      </w:pPr>
      <w:r w:rsidRPr="004D56F4">
        <w:rPr>
          <w:rFonts w:cs="Arial"/>
          <w:sz w:val="18"/>
          <w:szCs w:val="18"/>
          <w:lang w:eastAsia="en-IN"/>
        </w:rPr>
        <w:t>DI’s primary mission is to add value and to grow its investment portfolio through active strategic stewardship, financial engineering and leveraging its corporate brand, business promotion capabilities, network of relationships, and financial resources.</w:t>
      </w:r>
    </w:p>
    <w:p w:rsidR="004D56F4" w:rsidRPr="004D56F4" w:rsidRDefault="004D56F4" w:rsidP="004D56F4">
      <w:pPr>
        <w:spacing w:after="0" w:line="240" w:lineRule="auto"/>
        <w:jc w:val="both"/>
        <w:rPr>
          <w:rFonts w:cs="Arial"/>
          <w:sz w:val="18"/>
          <w:szCs w:val="18"/>
          <w:lang w:eastAsia="en-IN"/>
        </w:rPr>
      </w:pPr>
    </w:p>
    <w:p w:rsidR="004D56F4" w:rsidRPr="004D56F4" w:rsidRDefault="004D56F4" w:rsidP="004D56F4">
      <w:pPr>
        <w:pStyle w:val="NoSpacing"/>
        <w:rPr>
          <w:rFonts w:asciiTheme="minorHAnsi" w:hAnsiTheme="minorHAnsi"/>
          <w:b/>
          <w:sz w:val="18"/>
          <w:szCs w:val="18"/>
        </w:rPr>
      </w:pPr>
      <w:r w:rsidRPr="004D56F4">
        <w:rPr>
          <w:rFonts w:asciiTheme="minorHAnsi" w:hAnsiTheme="minorHAnsi"/>
          <w:b/>
          <w:sz w:val="18"/>
          <w:szCs w:val="18"/>
        </w:rPr>
        <w:t>For media inquiries, please contact:</w:t>
      </w:r>
    </w:p>
    <w:p w:rsidR="004D56F4" w:rsidRPr="004D56F4" w:rsidRDefault="004D56F4" w:rsidP="004D56F4">
      <w:pPr>
        <w:pStyle w:val="NoSpacing"/>
        <w:rPr>
          <w:rFonts w:asciiTheme="minorHAnsi" w:hAnsiTheme="minorHAnsi"/>
          <w:b/>
          <w:sz w:val="18"/>
          <w:szCs w:val="18"/>
        </w:rPr>
      </w:pPr>
    </w:p>
    <w:p w:rsidR="004D56F4" w:rsidRPr="004D56F4" w:rsidRDefault="004D56F4" w:rsidP="004D56F4">
      <w:pPr>
        <w:pStyle w:val="NoSpacing"/>
        <w:rPr>
          <w:rFonts w:asciiTheme="minorHAnsi" w:hAnsiTheme="minorHAnsi"/>
          <w:sz w:val="18"/>
          <w:szCs w:val="18"/>
        </w:rPr>
      </w:pPr>
      <w:r w:rsidRPr="004D56F4">
        <w:rPr>
          <w:rFonts w:asciiTheme="minorHAnsi" w:hAnsiTheme="minorHAnsi"/>
          <w:noProof/>
          <w:sz w:val="18"/>
          <w:szCs w:val="18"/>
          <w:lang w:val="en-US"/>
        </w:rPr>
        <w:drawing>
          <wp:inline distT="0" distB="0" distL="0" distR="0" wp14:anchorId="4132EA2B" wp14:editId="594E533B">
            <wp:extent cx="3724275" cy="942975"/>
            <wp:effectExtent l="0" t="0" r="0" b="9525"/>
            <wp:docPr id="1" name="Picture 1" descr="Venkat-email-signature"/>
            <wp:cNvGraphicFramePr/>
            <a:graphic xmlns:a="http://schemas.openxmlformats.org/drawingml/2006/main">
              <a:graphicData uri="http://schemas.openxmlformats.org/drawingml/2006/picture">
                <pic:pic xmlns:pic="http://schemas.openxmlformats.org/drawingml/2006/picture">
                  <pic:nvPicPr>
                    <pic:cNvPr id="1" name="Picture 1" descr="Venkat-email-signature"/>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4275" cy="942975"/>
                    </a:xfrm>
                    <a:prstGeom prst="rect">
                      <a:avLst/>
                    </a:prstGeom>
                    <a:noFill/>
                    <a:ln>
                      <a:noFill/>
                    </a:ln>
                  </pic:spPr>
                </pic:pic>
              </a:graphicData>
            </a:graphic>
          </wp:inline>
        </w:drawing>
      </w:r>
    </w:p>
    <w:p w:rsidR="004D56F4" w:rsidRDefault="004D56F4" w:rsidP="00797347">
      <w:pPr>
        <w:pStyle w:val="NormalWeb"/>
        <w:spacing w:before="0" w:beforeAutospacing="0" w:after="0" w:afterAutospacing="0" w:line="360" w:lineRule="auto"/>
        <w:jc w:val="both"/>
        <w:rPr>
          <w:rFonts w:asciiTheme="minorHAnsi" w:hAnsiTheme="minorHAnsi" w:cs="Tahoma"/>
          <w:bCs/>
          <w:sz w:val="22"/>
          <w:szCs w:val="22"/>
        </w:rPr>
      </w:pPr>
    </w:p>
    <w:p w:rsidR="00797347" w:rsidRDefault="00797347" w:rsidP="00797347">
      <w:pPr>
        <w:pStyle w:val="NormalWeb"/>
        <w:spacing w:before="0" w:beforeAutospacing="0" w:after="0" w:afterAutospacing="0" w:line="360" w:lineRule="auto"/>
        <w:jc w:val="both"/>
        <w:rPr>
          <w:rFonts w:asciiTheme="minorHAnsi" w:hAnsiTheme="minorHAnsi" w:cs="Tahoma"/>
          <w:bCs/>
          <w:sz w:val="22"/>
          <w:szCs w:val="22"/>
        </w:rPr>
      </w:pPr>
    </w:p>
    <w:p w:rsidR="00B15300" w:rsidRPr="00B15300" w:rsidRDefault="00B15300" w:rsidP="00B15300">
      <w:pPr>
        <w:pStyle w:val="NormalWeb"/>
        <w:spacing w:before="0" w:beforeAutospacing="0" w:after="0" w:afterAutospacing="0" w:line="360" w:lineRule="auto"/>
        <w:jc w:val="both"/>
        <w:rPr>
          <w:sz w:val="22"/>
          <w:szCs w:val="22"/>
        </w:rPr>
      </w:pPr>
    </w:p>
    <w:sectPr w:rsidR="00B15300" w:rsidRPr="00B1530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4D2" w:rsidRDefault="002764D2" w:rsidP="009F49E2">
      <w:pPr>
        <w:spacing w:after="0" w:line="240" w:lineRule="auto"/>
      </w:pPr>
      <w:r>
        <w:separator/>
      </w:r>
    </w:p>
  </w:endnote>
  <w:endnote w:type="continuationSeparator" w:id="0">
    <w:p w:rsidR="002764D2" w:rsidRDefault="002764D2" w:rsidP="009F4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4D2" w:rsidRDefault="002764D2" w:rsidP="009F49E2">
      <w:pPr>
        <w:spacing w:after="0" w:line="240" w:lineRule="auto"/>
      </w:pPr>
      <w:r>
        <w:separator/>
      </w:r>
    </w:p>
  </w:footnote>
  <w:footnote w:type="continuationSeparator" w:id="0">
    <w:p w:rsidR="002764D2" w:rsidRDefault="002764D2" w:rsidP="009F49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9E2" w:rsidRDefault="009F49E2" w:rsidP="009F49E2">
    <w:pPr>
      <w:pStyle w:val="Header"/>
      <w:jc w:val="center"/>
    </w:pPr>
    <w:r>
      <w:rPr>
        <w:rFonts w:ascii="Arial" w:hAnsi="Arial" w:cs="Arial"/>
        <w:b/>
        <w:noProof/>
      </w:rPr>
      <w:drawing>
        <wp:inline distT="0" distB="0" distL="0" distR="0" wp14:anchorId="4ADF164B" wp14:editId="6B670D4A">
          <wp:extent cx="2724150" cy="952500"/>
          <wp:effectExtent l="0" t="0" r="0" b="0"/>
          <wp:docPr id="2" name="Picture 2" descr="DILOGO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LOGO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4150" cy="952500"/>
                  </a:xfrm>
                  <a:prstGeom prst="rect">
                    <a:avLst/>
                  </a:prstGeom>
                  <a:noFill/>
                  <a:ln>
                    <a:noFill/>
                  </a:ln>
                </pic:spPr>
              </pic:pic>
            </a:graphicData>
          </a:graphic>
        </wp:inline>
      </w:drawing>
    </w:r>
  </w:p>
  <w:p w:rsidR="006A3223" w:rsidRDefault="006A3223" w:rsidP="009F49E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D0449"/>
    <w:multiLevelType w:val="hybridMultilevel"/>
    <w:tmpl w:val="3A1ED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074540"/>
    <w:multiLevelType w:val="hybridMultilevel"/>
    <w:tmpl w:val="B102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DAA"/>
    <w:rsid w:val="00040411"/>
    <w:rsid w:val="00061053"/>
    <w:rsid w:val="000E6585"/>
    <w:rsid w:val="002764D2"/>
    <w:rsid w:val="002D5ACE"/>
    <w:rsid w:val="00327181"/>
    <w:rsid w:val="004D56F4"/>
    <w:rsid w:val="00552AFC"/>
    <w:rsid w:val="005C5A8A"/>
    <w:rsid w:val="006A3223"/>
    <w:rsid w:val="006F3280"/>
    <w:rsid w:val="00797347"/>
    <w:rsid w:val="007B1B8D"/>
    <w:rsid w:val="008E7568"/>
    <w:rsid w:val="00905DAA"/>
    <w:rsid w:val="00935D7E"/>
    <w:rsid w:val="009F49E2"/>
    <w:rsid w:val="00A71B8C"/>
    <w:rsid w:val="00B15300"/>
    <w:rsid w:val="00C91447"/>
    <w:rsid w:val="00DD3021"/>
    <w:rsid w:val="00DE3EE0"/>
    <w:rsid w:val="00EF2EDC"/>
    <w:rsid w:val="00FA4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5DA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F4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9E2"/>
  </w:style>
  <w:style w:type="paragraph" w:styleId="Footer">
    <w:name w:val="footer"/>
    <w:basedOn w:val="Normal"/>
    <w:link w:val="FooterChar"/>
    <w:uiPriority w:val="99"/>
    <w:unhideWhenUsed/>
    <w:rsid w:val="009F4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9E2"/>
  </w:style>
  <w:style w:type="paragraph" w:styleId="BalloonText">
    <w:name w:val="Balloon Text"/>
    <w:basedOn w:val="Normal"/>
    <w:link w:val="BalloonTextChar"/>
    <w:uiPriority w:val="99"/>
    <w:semiHidden/>
    <w:unhideWhenUsed/>
    <w:rsid w:val="009F49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9E2"/>
    <w:rPr>
      <w:rFonts w:ascii="Tahoma" w:hAnsi="Tahoma" w:cs="Tahoma"/>
      <w:sz w:val="16"/>
      <w:szCs w:val="16"/>
    </w:rPr>
  </w:style>
  <w:style w:type="paragraph" w:styleId="ListParagraph">
    <w:name w:val="List Paragraph"/>
    <w:basedOn w:val="Normal"/>
    <w:uiPriority w:val="34"/>
    <w:qFormat/>
    <w:rsid w:val="009F49E2"/>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4D56F4"/>
    <w:pPr>
      <w:spacing w:after="0" w:line="240" w:lineRule="auto"/>
    </w:pPr>
    <w:rPr>
      <w:rFonts w:ascii="Calibri" w:eastAsia="Calibri" w:hAnsi="Calibri" w:cs="Times New Roman"/>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5DA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F4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9E2"/>
  </w:style>
  <w:style w:type="paragraph" w:styleId="Footer">
    <w:name w:val="footer"/>
    <w:basedOn w:val="Normal"/>
    <w:link w:val="FooterChar"/>
    <w:uiPriority w:val="99"/>
    <w:unhideWhenUsed/>
    <w:rsid w:val="009F4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9E2"/>
  </w:style>
  <w:style w:type="paragraph" w:styleId="BalloonText">
    <w:name w:val="Balloon Text"/>
    <w:basedOn w:val="Normal"/>
    <w:link w:val="BalloonTextChar"/>
    <w:uiPriority w:val="99"/>
    <w:semiHidden/>
    <w:unhideWhenUsed/>
    <w:rsid w:val="009F49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9E2"/>
    <w:rPr>
      <w:rFonts w:ascii="Tahoma" w:hAnsi="Tahoma" w:cs="Tahoma"/>
      <w:sz w:val="16"/>
      <w:szCs w:val="16"/>
    </w:rPr>
  </w:style>
  <w:style w:type="paragraph" w:styleId="ListParagraph">
    <w:name w:val="List Paragraph"/>
    <w:basedOn w:val="Normal"/>
    <w:uiPriority w:val="34"/>
    <w:qFormat/>
    <w:rsid w:val="009F49E2"/>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4D56F4"/>
    <w:pPr>
      <w:spacing w:after="0" w:line="240" w:lineRule="auto"/>
    </w:pPr>
    <w:rPr>
      <w:rFonts w:ascii="Calibri" w:eastAsia="Calibri" w:hAnsi="Calibri" w:cs="Times New Roman"/>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Venkatasubra Shunathan iyer</dc:creator>
  <cp:lastModifiedBy>Venkatasubra Shunathan iyer</cp:lastModifiedBy>
  <cp:revision>4</cp:revision>
  <cp:lastPrinted>2014-04-30T05:42:00Z</cp:lastPrinted>
  <dcterms:created xsi:type="dcterms:W3CDTF">2014-05-01T08:59:00Z</dcterms:created>
  <dcterms:modified xsi:type="dcterms:W3CDTF">2014-05-01T09:37:00Z</dcterms:modified>
</cp:coreProperties>
</file>