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B3" w:rsidRDefault="00D3468A" w:rsidP="008C2883">
      <w:pPr>
        <w:spacing w:line="288" w:lineRule="auto"/>
        <w:ind w:left="567" w:right="908"/>
        <w:jc w:val="center"/>
        <w:rPr>
          <w:rFonts w:asciiTheme="minorHAnsi" w:hAnsiTheme="minorHAnsi" w:cstheme="minorHAnsi"/>
          <w:b/>
          <w:bCs/>
          <w:sz w:val="28"/>
          <w:szCs w:val="28"/>
        </w:rPr>
      </w:pPr>
      <w:bookmarkStart w:id="0" w:name="_GoBack"/>
      <w:bookmarkEnd w:id="0"/>
      <w:r>
        <w:rPr>
          <w:rFonts w:asciiTheme="minorHAnsi" w:hAnsiTheme="minorHAnsi" w:cstheme="minorHAnsi"/>
          <w:b/>
          <w:bCs/>
          <w:sz w:val="28"/>
          <w:szCs w:val="28"/>
        </w:rPr>
        <w:t xml:space="preserve">Emirates Investment Bank </w:t>
      </w:r>
      <w:r w:rsidRPr="00D3468A">
        <w:rPr>
          <w:rFonts w:asciiTheme="minorHAnsi" w:hAnsiTheme="minorHAnsi" w:cstheme="minorHAnsi"/>
          <w:b/>
          <w:bCs/>
          <w:sz w:val="28"/>
          <w:szCs w:val="28"/>
        </w:rPr>
        <w:t xml:space="preserve">reports </w:t>
      </w:r>
      <w:r w:rsidR="00591DE4">
        <w:rPr>
          <w:rFonts w:asciiTheme="minorHAnsi" w:hAnsiTheme="minorHAnsi" w:cstheme="minorHAnsi"/>
          <w:b/>
          <w:bCs/>
          <w:sz w:val="28"/>
          <w:szCs w:val="28"/>
        </w:rPr>
        <w:t xml:space="preserve">results for the second quarter and first half of </w:t>
      </w:r>
      <w:r w:rsidR="00015025">
        <w:rPr>
          <w:rFonts w:asciiTheme="minorHAnsi" w:hAnsiTheme="minorHAnsi" w:cstheme="minorHAnsi"/>
          <w:b/>
          <w:bCs/>
          <w:sz w:val="28"/>
          <w:szCs w:val="28"/>
        </w:rPr>
        <w:t>2015</w:t>
      </w:r>
    </w:p>
    <w:p w:rsidR="008C2883" w:rsidRPr="00FC5434" w:rsidRDefault="008C2883" w:rsidP="008C2883">
      <w:pPr>
        <w:spacing w:line="288" w:lineRule="auto"/>
        <w:ind w:left="567" w:right="908"/>
        <w:jc w:val="center"/>
        <w:rPr>
          <w:rFonts w:asciiTheme="minorHAnsi" w:hAnsiTheme="minorHAnsi" w:cstheme="minorHAnsi"/>
          <w:szCs w:val="22"/>
        </w:rPr>
      </w:pPr>
    </w:p>
    <w:p w:rsidR="008C3BC2" w:rsidRPr="00C02805" w:rsidRDefault="00716BB3" w:rsidP="00C47520">
      <w:pPr>
        <w:spacing w:line="288" w:lineRule="auto"/>
        <w:jc w:val="both"/>
        <w:rPr>
          <w:rFonts w:asciiTheme="minorHAnsi" w:hAnsiTheme="minorHAnsi" w:cstheme="minorHAnsi"/>
          <w:szCs w:val="22"/>
        </w:rPr>
      </w:pPr>
      <w:r w:rsidRPr="00FC5434">
        <w:rPr>
          <w:rFonts w:asciiTheme="minorHAnsi" w:hAnsiTheme="minorHAnsi" w:cstheme="minorHAnsi"/>
          <w:b/>
          <w:bCs/>
          <w:szCs w:val="22"/>
        </w:rPr>
        <w:t xml:space="preserve">Dubai, </w:t>
      </w:r>
      <w:r w:rsidRPr="00F83E42">
        <w:rPr>
          <w:rFonts w:asciiTheme="minorHAnsi" w:hAnsiTheme="minorHAnsi" w:cstheme="minorHAnsi"/>
          <w:b/>
          <w:bCs/>
          <w:szCs w:val="22"/>
        </w:rPr>
        <w:t xml:space="preserve">UAE; </w:t>
      </w:r>
      <w:r w:rsidR="00450583">
        <w:rPr>
          <w:rFonts w:asciiTheme="minorHAnsi" w:hAnsiTheme="minorHAnsi" w:cstheme="minorHAnsi"/>
          <w:b/>
          <w:bCs/>
          <w:szCs w:val="22"/>
        </w:rPr>
        <w:t>10</w:t>
      </w:r>
      <w:r w:rsidR="00C47520">
        <w:rPr>
          <w:rFonts w:asciiTheme="minorHAnsi" w:hAnsiTheme="minorHAnsi" w:cstheme="minorHAnsi"/>
          <w:b/>
          <w:bCs/>
          <w:szCs w:val="22"/>
        </w:rPr>
        <w:t xml:space="preserve"> </w:t>
      </w:r>
      <w:r w:rsidR="008C2883">
        <w:rPr>
          <w:rFonts w:asciiTheme="minorHAnsi" w:hAnsiTheme="minorHAnsi" w:cstheme="minorHAnsi"/>
          <w:b/>
          <w:bCs/>
          <w:szCs w:val="22"/>
        </w:rPr>
        <w:t>August</w:t>
      </w:r>
      <w:r w:rsidR="00F73B93">
        <w:rPr>
          <w:rFonts w:asciiTheme="minorHAnsi" w:hAnsiTheme="minorHAnsi" w:cstheme="minorHAnsi"/>
          <w:b/>
          <w:bCs/>
          <w:szCs w:val="22"/>
        </w:rPr>
        <w:t xml:space="preserve"> 2015</w:t>
      </w:r>
      <w:r w:rsidR="00B01145" w:rsidRPr="00F83E42">
        <w:rPr>
          <w:rFonts w:asciiTheme="minorHAnsi" w:hAnsiTheme="minorHAnsi" w:cstheme="minorHAnsi"/>
          <w:b/>
          <w:bCs/>
          <w:szCs w:val="22"/>
        </w:rPr>
        <w:t>:</w:t>
      </w:r>
      <w:r w:rsidR="00B01145">
        <w:rPr>
          <w:rFonts w:asciiTheme="minorHAnsi" w:hAnsiTheme="minorHAnsi" w:cstheme="minorHAnsi"/>
          <w:b/>
          <w:bCs/>
          <w:szCs w:val="22"/>
        </w:rPr>
        <w:t xml:space="preserve"> </w:t>
      </w:r>
      <w:r w:rsidRPr="00FC5434">
        <w:rPr>
          <w:rFonts w:asciiTheme="minorHAnsi" w:hAnsiTheme="minorHAnsi" w:cstheme="minorHAnsi"/>
          <w:szCs w:val="22"/>
        </w:rPr>
        <w:t xml:space="preserve"> </w:t>
      </w:r>
      <w:r w:rsidR="00CB5EF2">
        <w:rPr>
          <w:rFonts w:asciiTheme="minorHAnsi" w:hAnsiTheme="minorHAnsi" w:cstheme="minorHAnsi"/>
          <w:szCs w:val="22"/>
        </w:rPr>
        <w:t>Emirates Investment Bank</w:t>
      </w:r>
      <w:r w:rsidR="008C3BC2">
        <w:rPr>
          <w:rFonts w:asciiTheme="minorHAnsi" w:hAnsiTheme="minorHAnsi" w:cstheme="minorHAnsi"/>
          <w:szCs w:val="22"/>
        </w:rPr>
        <w:t xml:space="preserve"> (“</w:t>
      </w:r>
      <w:r w:rsidR="005E697C">
        <w:rPr>
          <w:rFonts w:asciiTheme="minorHAnsi" w:hAnsiTheme="minorHAnsi" w:cstheme="minorHAnsi"/>
          <w:szCs w:val="22"/>
        </w:rPr>
        <w:t>EIBank</w:t>
      </w:r>
      <w:r w:rsidR="008C3BC2">
        <w:rPr>
          <w:rFonts w:asciiTheme="minorHAnsi" w:hAnsiTheme="minorHAnsi" w:cstheme="minorHAnsi"/>
          <w:szCs w:val="22"/>
        </w:rPr>
        <w:t xml:space="preserve">”), </w:t>
      </w:r>
      <w:r w:rsidR="008C3BC2" w:rsidRPr="00C030C2">
        <w:rPr>
          <w:rFonts w:asciiTheme="minorHAnsi" w:hAnsiTheme="minorHAnsi" w:cstheme="minorHAnsi"/>
          <w:szCs w:val="22"/>
        </w:rPr>
        <w:t>a</w:t>
      </w:r>
      <w:r w:rsidR="008C3BC2">
        <w:rPr>
          <w:rFonts w:asciiTheme="minorHAnsi" w:hAnsiTheme="minorHAnsi" w:cstheme="minorHAnsi"/>
          <w:szCs w:val="22"/>
        </w:rPr>
        <w:t>n</w:t>
      </w:r>
      <w:r w:rsidR="008C3BC2" w:rsidRPr="00C030C2">
        <w:rPr>
          <w:rFonts w:asciiTheme="minorHAnsi" w:hAnsiTheme="minorHAnsi" w:cstheme="minorHAnsi"/>
          <w:szCs w:val="22"/>
        </w:rPr>
        <w:t xml:space="preserve"> independent </w:t>
      </w:r>
      <w:r w:rsidR="00C26280">
        <w:rPr>
          <w:rFonts w:asciiTheme="minorHAnsi" w:hAnsiTheme="minorHAnsi" w:cstheme="minorHAnsi"/>
          <w:szCs w:val="22"/>
        </w:rPr>
        <w:t xml:space="preserve">boutique </w:t>
      </w:r>
      <w:r w:rsidR="008C3BC2" w:rsidRPr="00C030C2">
        <w:rPr>
          <w:rFonts w:asciiTheme="minorHAnsi" w:hAnsiTheme="minorHAnsi" w:cstheme="minorHAnsi"/>
          <w:szCs w:val="22"/>
        </w:rPr>
        <w:t>private and investment bank</w:t>
      </w:r>
      <w:r w:rsidR="008C3BC2">
        <w:rPr>
          <w:rFonts w:asciiTheme="minorHAnsi" w:hAnsiTheme="minorHAnsi" w:cstheme="minorHAnsi"/>
          <w:szCs w:val="22"/>
        </w:rPr>
        <w:t xml:space="preserve"> (DFM: EIBank),</w:t>
      </w:r>
      <w:r w:rsidR="00CB5EF2">
        <w:rPr>
          <w:rFonts w:asciiTheme="minorHAnsi" w:hAnsiTheme="minorHAnsi" w:cstheme="minorHAnsi"/>
          <w:szCs w:val="22"/>
        </w:rPr>
        <w:t xml:space="preserve"> </w:t>
      </w:r>
      <w:r w:rsidR="008C3BC2" w:rsidRPr="00C02805">
        <w:rPr>
          <w:rFonts w:asciiTheme="minorHAnsi" w:hAnsiTheme="minorHAnsi" w:cstheme="minorHAnsi"/>
          <w:szCs w:val="22"/>
        </w:rPr>
        <w:t>today announce</w:t>
      </w:r>
      <w:r w:rsidR="0038796A">
        <w:rPr>
          <w:rFonts w:asciiTheme="minorHAnsi" w:hAnsiTheme="minorHAnsi" w:cstheme="minorHAnsi"/>
          <w:szCs w:val="22"/>
        </w:rPr>
        <w:t>d</w:t>
      </w:r>
      <w:r w:rsidR="008C3BC2" w:rsidRPr="00C02805">
        <w:rPr>
          <w:rFonts w:asciiTheme="minorHAnsi" w:hAnsiTheme="minorHAnsi" w:cstheme="minorHAnsi"/>
          <w:szCs w:val="22"/>
        </w:rPr>
        <w:t xml:space="preserve"> its</w:t>
      </w:r>
      <w:r w:rsidR="008C3BC2">
        <w:rPr>
          <w:rFonts w:asciiTheme="minorHAnsi" w:hAnsiTheme="minorHAnsi" w:cstheme="minorHAnsi"/>
          <w:szCs w:val="22"/>
        </w:rPr>
        <w:t xml:space="preserve"> </w:t>
      </w:r>
      <w:r w:rsidR="00F73B93" w:rsidRPr="00F73B93">
        <w:rPr>
          <w:rFonts w:asciiTheme="minorHAnsi" w:hAnsiTheme="minorHAnsi" w:cstheme="minorHAnsi"/>
          <w:szCs w:val="22"/>
        </w:rPr>
        <w:t xml:space="preserve">financial results for the </w:t>
      </w:r>
      <w:r w:rsidR="008C2883">
        <w:rPr>
          <w:rFonts w:asciiTheme="minorHAnsi" w:hAnsiTheme="minorHAnsi" w:cstheme="minorHAnsi"/>
          <w:szCs w:val="22"/>
        </w:rPr>
        <w:t>second</w:t>
      </w:r>
      <w:r w:rsidR="00F73B93" w:rsidRPr="00F73B93">
        <w:rPr>
          <w:rFonts w:asciiTheme="minorHAnsi" w:hAnsiTheme="minorHAnsi" w:cstheme="minorHAnsi"/>
          <w:szCs w:val="22"/>
        </w:rPr>
        <w:t xml:space="preserve"> quarter</w:t>
      </w:r>
      <w:r w:rsidR="00A571F0">
        <w:rPr>
          <w:rFonts w:asciiTheme="minorHAnsi" w:hAnsiTheme="minorHAnsi" w:cstheme="minorHAnsi"/>
          <w:szCs w:val="22"/>
        </w:rPr>
        <w:t xml:space="preserve"> and first half of</w:t>
      </w:r>
      <w:r w:rsidR="00F73B93" w:rsidRPr="00F73B93">
        <w:rPr>
          <w:rFonts w:asciiTheme="minorHAnsi" w:hAnsiTheme="minorHAnsi" w:cstheme="minorHAnsi"/>
          <w:szCs w:val="22"/>
        </w:rPr>
        <w:t xml:space="preserve"> </w:t>
      </w:r>
      <w:r w:rsidR="00C47520">
        <w:rPr>
          <w:rFonts w:asciiTheme="minorHAnsi" w:hAnsiTheme="minorHAnsi" w:cstheme="minorHAnsi"/>
          <w:szCs w:val="22"/>
        </w:rPr>
        <w:t>2015</w:t>
      </w:r>
      <w:r w:rsidR="008C3BC2" w:rsidRPr="00C02805">
        <w:rPr>
          <w:rFonts w:asciiTheme="minorHAnsi" w:hAnsiTheme="minorHAnsi" w:cstheme="minorHAnsi"/>
          <w:szCs w:val="22"/>
        </w:rPr>
        <w:t xml:space="preserve">. </w:t>
      </w:r>
    </w:p>
    <w:p w:rsidR="008C3BC2" w:rsidRPr="00C02805" w:rsidRDefault="008C3BC2" w:rsidP="008C3BC2">
      <w:pPr>
        <w:spacing w:line="280" w:lineRule="exact"/>
        <w:jc w:val="both"/>
        <w:rPr>
          <w:rFonts w:asciiTheme="minorHAnsi" w:hAnsiTheme="minorHAnsi" w:cstheme="minorHAnsi"/>
          <w:szCs w:val="22"/>
        </w:rPr>
      </w:pPr>
    </w:p>
    <w:p w:rsidR="008C3BC2" w:rsidRPr="00C02805" w:rsidRDefault="008C3BC2" w:rsidP="008C3BC2">
      <w:pPr>
        <w:spacing w:line="280" w:lineRule="exact"/>
        <w:jc w:val="both"/>
        <w:rPr>
          <w:rFonts w:asciiTheme="minorHAnsi" w:hAnsiTheme="minorHAnsi" w:cstheme="minorHAnsi"/>
          <w:b/>
          <w:bCs/>
          <w:i/>
          <w:iCs/>
          <w:szCs w:val="22"/>
        </w:rPr>
      </w:pPr>
      <w:r w:rsidRPr="00C02805">
        <w:rPr>
          <w:rFonts w:asciiTheme="minorHAnsi" w:hAnsiTheme="minorHAnsi" w:cstheme="minorHAnsi"/>
          <w:b/>
          <w:bCs/>
          <w:i/>
          <w:iCs/>
          <w:szCs w:val="22"/>
        </w:rPr>
        <w:t>Financial Highlights</w:t>
      </w:r>
      <w:r>
        <w:rPr>
          <w:rFonts w:asciiTheme="minorHAnsi" w:hAnsiTheme="minorHAnsi" w:cstheme="minorHAnsi"/>
          <w:b/>
          <w:bCs/>
          <w:i/>
          <w:iCs/>
          <w:szCs w:val="22"/>
        </w:rPr>
        <w:t>:</w:t>
      </w:r>
    </w:p>
    <w:p w:rsidR="008C2883" w:rsidRDefault="008C2883" w:rsidP="00591DE4"/>
    <w:p w:rsidR="00157CE2" w:rsidRDefault="00157CE2" w:rsidP="00157CE2">
      <w:pPr>
        <w:pStyle w:val="ListParagraph"/>
        <w:numPr>
          <w:ilvl w:val="0"/>
          <w:numId w:val="13"/>
        </w:numPr>
      </w:pPr>
      <w:r>
        <w:t>H1 2015 net profit of AED 27.83 million</w:t>
      </w:r>
      <w:r w:rsidR="00591DE4">
        <w:t xml:space="preserve"> (H1 2014: AED 35.29 million)</w:t>
      </w:r>
      <w:r>
        <w:t xml:space="preserve">, down 21% on same period last year </w:t>
      </w:r>
    </w:p>
    <w:p w:rsidR="00157CE2" w:rsidRDefault="00157CE2" w:rsidP="00157CE2">
      <w:pPr>
        <w:pStyle w:val="ListParagraph"/>
        <w:numPr>
          <w:ilvl w:val="0"/>
          <w:numId w:val="13"/>
        </w:numPr>
      </w:pPr>
      <w:r>
        <w:t>Q2 2015 net profit of AED 6.60 million</w:t>
      </w:r>
      <w:r w:rsidR="00591DE4">
        <w:t xml:space="preserve"> (Q2 2014: AED 15.77 million)</w:t>
      </w:r>
      <w:r>
        <w:t xml:space="preserve">, down 58% on same period last year </w:t>
      </w:r>
    </w:p>
    <w:p w:rsidR="008C2883" w:rsidRDefault="008C2883" w:rsidP="008C2883">
      <w:pPr>
        <w:pStyle w:val="ListParagraph"/>
        <w:numPr>
          <w:ilvl w:val="0"/>
          <w:numId w:val="13"/>
        </w:numPr>
      </w:pPr>
      <w:r>
        <w:t>Customer deposits</w:t>
      </w:r>
      <w:r w:rsidR="00157CE2">
        <w:t xml:space="preserve"> have</w:t>
      </w:r>
      <w:r>
        <w:t xml:space="preserve"> remained constant </w:t>
      </w:r>
      <w:r w:rsidR="00157CE2">
        <w:t>since</w:t>
      </w:r>
      <w:r>
        <w:t xml:space="preserve"> FY 2014 at AED 2.99 billion (Dec 2014: AED 2.99 billion) </w:t>
      </w:r>
    </w:p>
    <w:p w:rsidR="008C2883" w:rsidRDefault="008C2883" w:rsidP="008C2883">
      <w:pPr>
        <w:pStyle w:val="ListParagraph"/>
        <w:numPr>
          <w:ilvl w:val="0"/>
          <w:numId w:val="13"/>
        </w:numPr>
      </w:pPr>
      <w:r>
        <w:t>Total assets under the Bank’s management increased 9% on FY 2014 to AED 8.38 billion (Dec 2014: AED 7.71 billion)</w:t>
      </w:r>
    </w:p>
    <w:p w:rsidR="008C2883" w:rsidRDefault="008C2883" w:rsidP="008C2883">
      <w:pPr>
        <w:pStyle w:val="ListParagraph"/>
        <w:numPr>
          <w:ilvl w:val="1"/>
          <w:numId w:val="13"/>
        </w:numPr>
      </w:pPr>
      <w:r>
        <w:t xml:space="preserve">Balance sheet assets remained fairly constant </w:t>
      </w:r>
      <w:r w:rsidR="00591DE4">
        <w:t xml:space="preserve">on </w:t>
      </w:r>
      <w:r>
        <w:t xml:space="preserve">FY 2014 at AED 3.51 billion (Dec 2014: AED 3.50 billion) </w:t>
      </w:r>
    </w:p>
    <w:p w:rsidR="008C2883" w:rsidRDefault="008C2883" w:rsidP="008C2883">
      <w:pPr>
        <w:pStyle w:val="ListParagraph"/>
        <w:numPr>
          <w:ilvl w:val="1"/>
          <w:numId w:val="13"/>
        </w:numPr>
      </w:pPr>
      <w:r>
        <w:t>Fiduciary assets under management increased 16% on FY 2014 to AED 4.87 billion (Dec 2014: AED 4.21 billion)</w:t>
      </w:r>
    </w:p>
    <w:p w:rsidR="00FA1079" w:rsidRDefault="00FA1079" w:rsidP="00EF13EE">
      <w:pPr>
        <w:spacing w:line="288" w:lineRule="auto"/>
        <w:jc w:val="both"/>
        <w:rPr>
          <w:rFonts w:asciiTheme="minorHAnsi" w:hAnsiTheme="minorHAnsi" w:cstheme="minorHAnsi"/>
          <w:b/>
          <w:bCs/>
          <w:szCs w:val="22"/>
        </w:rPr>
      </w:pPr>
    </w:p>
    <w:p w:rsidR="002F25B9" w:rsidRPr="003E0BF0" w:rsidRDefault="00670EA5" w:rsidP="00FF7361">
      <w:pPr>
        <w:spacing w:line="288" w:lineRule="auto"/>
        <w:jc w:val="both"/>
        <w:rPr>
          <w:rFonts w:asciiTheme="minorHAnsi" w:hAnsiTheme="minorHAnsi" w:cstheme="minorHAnsi"/>
          <w:szCs w:val="22"/>
        </w:rPr>
      </w:pPr>
      <w:r w:rsidRPr="00EF13EE">
        <w:rPr>
          <w:rFonts w:asciiTheme="minorHAnsi" w:hAnsiTheme="minorHAnsi" w:cstheme="minorHAnsi"/>
          <w:b/>
          <w:bCs/>
          <w:szCs w:val="22"/>
        </w:rPr>
        <w:t>Khaled Sifri, CEO of Emirates Investment Bank, said</w:t>
      </w:r>
      <w:r w:rsidRPr="00AE0CD3">
        <w:rPr>
          <w:rFonts w:asciiTheme="minorHAnsi" w:hAnsiTheme="minorHAnsi" w:cstheme="minorHAnsi"/>
          <w:szCs w:val="22"/>
        </w:rPr>
        <w:t>:</w:t>
      </w:r>
      <w:r w:rsidR="00157CE2" w:rsidRPr="00AE0CD3">
        <w:rPr>
          <w:rFonts w:asciiTheme="minorHAnsi" w:hAnsiTheme="minorHAnsi" w:cstheme="minorHAnsi"/>
          <w:szCs w:val="22"/>
        </w:rPr>
        <w:t xml:space="preserve"> </w:t>
      </w:r>
      <w:r w:rsidR="003E0BF0" w:rsidRPr="003E0BF0">
        <w:rPr>
          <w:rFonts w:asciiTheme="minorHAnsi" w:hAnsiTheme="minorHAnsi" w:cstheme="minorHAnsi"/>
          <w:szCs w:val="22"/>
        </w:rPr>
        <w:t>“</w:t>
      </w:r>
      <w:r w:rsidR="0037396E">
        <w:rPr>
          <w:rFonts w:asciiTheme="minorHAnsi" w:hAnsiTheme="minorHAnsi" w:cstheme="minorHAnsi"/>
          <w:szCs w:val="22"/>
        </w:rPr>
        <w:t>Over the past five years, o</w:t>
      </w:r>
      <w:r w:rsidR="003E0BF0" w:rsidRPr="003E0BF0">
        <w:rPr>
          <w:rFonts w:asciiTheme="minorHAnsi" w:hAnsiTheme="minorHAnsi" w:cstheme="minorHAnsi"/>
          <w:szCs w:val="22"/>
        </w:rPr>
        <w:t xml:space="preserve">ur revenues </w:t>
      </w:r>
      <w:r w:rsidR="00FF7361">
        <w:rPr>
          <w:rFonts w:asciiTheme="minorHAnsi" w:hAnsiTheme="minorHAnsi" w:cstheme="minorHAnsi"/>
          <w:szCs w:val="22"/>
        </w:rPr>
        <w:t>almost doubled</w:t>
      </w:r>
      <w:r w:rsidR="00FF7361" w:rsidRPr="003E0BF0">
        <w:rPr>
          <w:rFonts w:asciiTheme="minorHAnsi" w:hAnsiTheme="minorHAnsi" w:cstheme="minorHAnsi"/>
          <w:szCs w:val="22"/>
        </w:rPr>
        <w:t xml:space="preserve"> </w:t>
      </w:r>
      <w:r w:rsidR="003E0BF0" w:rsidRPr="003E0BF0">
        <w:rPr>
          <w:rFonts w:asciiTheme="minorHAnsi" w:hAnsiTheme="minorHAnsi" w:cstheme="minorHAnsi"/>
          <w:szCs w:val="22"/>
        </w:rPr>
        <w:t xml:space="preserve">from AED </w:t>
      </w:r>
      <w:r w:rsidR="00D713DB">
        <w:rPr>
          <w:rFonts w:asciiTheme="minorHAnsi" w:hAnsiTheme="minorHAnsi" w:cstheme="minorHAnsi"/>
          <w:szCs w:val="22"/>
        </w:rPr>
        <w:t>64.6 million</w:t>
      </w:r>
      <w:r w:rsidR="003E0BF0" w:rsidRPr="003E0BF0">
        <w:rPr>
          <w:rFonts w:asciiTheme="minorHAnsi" w:hAnsiTheme="minorHAnsi" w:cstheme="minorHAnsi"/>
          <w:szCs w:val="22"/>
        </w:rPr>
        <w:t xml:space="preserve"> in 2011 to AED </w:t>
      </w:r>
      <w:r w:rsidR="00D713DB">
        <w:rPr>
          <w:rFonts w:asciiTheme="minorHAnsi" w:hAnsiTheme="minorHAnsi" w:cstheme="minorHAnsi"/>
          <w:szCs w:val="22"/>
        </w:rPr>
        <w:t xml:space="preserve">110.7 million </w:t>
      </w:r>
      <w:r w:rsidR="003E0BF0" w:rsidRPr="003E0BF0">
        <w:rPr>
          <w:rFonts w:asciiTheme="minorHAnsi" w:hAnsiTheme="minorHAnsi" w:cstheme="minorHAnsi"/>
          <w:szCs w:val="22"/>
        </w:rPr>
        <w:t>in 2014.  This significant achievement was made possible by taking advantage of the bank’s available prudential capacity</w:t>
      </w:r>
      <w:r w:rsidR="0037396E">
        <w:rPr>
          <w:rFonts w:asciiTheme="minorHAnsi" w:hAnsiTheme="minorHAnsi" w:cstheme="minorHAnsi"/>
          <w:szCs w:val="22"/>
        </w:rPr>
        <w:t xml:space="preserve"> to </w:t>
      </w:r>
      <w:r w:rsidR="003E0BF0" w:rsidRPr="003E0BF0">
        <w:rPr>
          <w:rFonts w:asciiTheme="minorHAnsi" w:hAnsiTheme="minorHAnsi" w:cstheme="minorHAnsi"/>
          <w:szCs w:val="22"/>
        </w:rPr>
        <w:t xml:space="preserve">rapidly expand our balance sheet from AED </w:t>
      </w:r>
      <w:r w:rsidR="00D713DB">
        <w:rPr>
          <w:rFonts w:asciiTheme="minorHAnsi" w:hAnsiTheme="minorHAnsi" w:cstheme="minorHAnsi"/>
          <w:szCs w:val="22"/>
        </w:rPr>
        <w:t xml:space="preserve">1.46 billion </w:t>
      </w:r>
      <w:r w:rsidR="003E0BF0" w:rsidRPr="003E0BF0">
        <w:rPr>
          <w:rFonts w:asciiTheme="minorHAnsi" w:hAnsiTheme="minorHAnsi" w:cstheme="minorHAnsi"/>
          <w:szCs w:val="22"/>
        </w:rPr>
        <w:t xml:space="preserve">in 2011 to AED </w:t>
      </w:r>
      <w:r w:rsidR="00D713DB">
        <w:rPr>
          <w:rFonts w:asciiTheme="minorHAnsi" w:hAnsiTheme="minorHAnsi" w:cstheme="minorHAnsi"/>
          <w:szCs w:val="22"/>
        </w:rPr>
        <w:t>3.50 billion</w:t>
      </w:r>
      <w:r w:rsidR="003E0BF0" w:rsidRPr="003E0BF0">
        <w:rPr>
          <w:rFonts w:asciiTheme="minorHAnsi" w:hAnsiTheme="minorHAnsi" w:cstheme="minorHAnsi"/>
          <w:szCs w:val="22"/>
        </w:rPr>
        <w:t xml:space="preserve"> in 2014</w:t>
      </w:r>
      <w:r w:rsidR="0037396E">
        <w:rPr>
          <w:rFonts w:asciiTheme="minorHAnsi" w:hAnsiTheme="minorHAnsi" w:cstheme="minorHAnsi"/>
          <w:szCs w:val="22"/>
        </w:rPr>
        <w:t xml:space="preserve">; </w:t>
      </w:r>
      <w:r w:rsidR="003E0BF0" w:rsidRPr="003E0BF0">
        <w:rPr>
          <w:rFonts w:asciiTheme="minorHAnsi" w:hAnsiTheme="minorHAnsi" w:cstheme="minorHAnsi"/>
          <w:szCs w:val="22"/>
        </w:rPr>
        <w:t>realis</w:t>
      </w:r>
      <w:r w:rsidR="0037396E">
        <w:rPr>
          <w:rFonts w:asciiTheme="minorHAnsi" w:hAnsiTheme="minorHAnsi" w:cstheme="minorHAnsi"/>
          <w:szCs w:val="22"/>
        </w:rPr>
        <w:t>ing</w:t>
      </w:r>
      <w:r w:rsidR="003E0BF0" w:rsidRPr="003E0BF0">
        <w:rPr>
          <w:rFonts w:asciiTheme="minorHAnsi" w:hAnsiTheme="minorHAnsi" w:cstheme="minorHAnsi"/>
          <w:szCs w:val="22"/>
        </w:rPr>
        <w:t xml:space="preserve"> its true potential.  As our balance sheet stabili</w:t>
      </w:r>
      <w:r w:rsidR="0037396E">
        <w:rPr>
          <w:rFonts w:asciiTheme="minorHAnsi" w:hAnsiTheme="minorHAnsi" w:cstheme="minorHAnsi"/>
          <w:szCs w:val="22"/>
        </w:rPr>
        <w:t>s</w:t>
      </w:r>
      <w:r w:rsidR="003E0BF0" w:rsidRPr="003E0BF0">
        <w:rPr>
          <w:rFonts w:asciiTheme="minorHAnsi" w:hAnsiTheme="minorHAnsi" w:cstheme="minorHAnsi"/>
          <w:szCs w:val="22"/>
        </w:rPr>
        <w:t>es,</w:t>
      </w:r>
      <w:r w:rsidR="002F25B9">
        <w:rPr>
          <w:rFonts w:asciiTheme="minorHAnsi" w:hAnsiTheme="minorHAnsi" w:cstheme="minorHAnsi"/>
          <w:szCs w:val="22"/>
        </w:rPr>
        <w:t xml:space="preserve"> which we are seeing now,</w:t>
      </w:r>
      <w:r w:rsidR="003E0BF0" w:rsidRPr="003E0BF0">
        <w:rPr>
          <w:rFonts w:asciiTheme="minorHAnsi" w:hAnsiTheme="minorHAnsi" w:cstheme="minorHAnsi"/>
          <w:szCs w:val="22"/>
        </w:rPr>
        <w:t xml:space="preserve"> </w:t>
      </w:r>
      <w:r w:rsidR="002F25B9">
        <w:rPr>
          <w:rFonts w:asciiTheme="minorHAnsi" w:hAnsiTheme="minorHAnsi" w:cstheme="minorHAnsi"/>
          <w:szCs w:val="22"/>
        </w:rPr>
        <w:t>it is natural for the</w:t>
      </w:r>
      <w:r w:rsidR="002F25B9" w:rsidRPr="003E0BF0">
        <w:rPr>
          <w:rFonts w:asciiTheme="minorHAnsi" w:hAnsiTheme="minorHAnsi" w:cstheme="minorHAnsi"/>
          <w:szCs w:val="22"/>
        </w:rPr>
        <w:t xml:space="preserve"> </w:t>
      </w:r>
      <w:r w:rsidR="003E0BF0" w:rsidRPr="003E0BF0">
        <w:rPr>
          <w:rFonts w:asciiTheme="minorHAnsi" w:hAnsiTheme="minorHAnsi" w:cstheme="minorHAnsi"/>
          <w:szCs w:val="22"/>
        </w:rPr>
        <w:t xml:space="preserve">related revenues </w:t>
      </w:r>
      <w:r w:rsidR="002F25B9">
        <w:rPr>
          <w:rFonts w:asciiTheme="minorHAnsi" w:hAnsiTheme="minorHAnsi" w:cstheme="minorHAnsi"/>
          <w:szCs w:val="22"/>
        </w:rPr>
        <w:t>to</w:t>
      </w:r>
      <w:r w:rsidR="002F25B9" w:rsidRPr="003E0BF0">
        <w:rPr>
          <w:rFonts w:asciiTheme="minorHAnsi" w:hAnsiTheme="minorHAnsi" w:cstheme="minorHAnsi"/>
          <w:szCs w:val="22"/>
        </w:rPr>
        <w:t xml:space="preserve"> </w:t>
      </w:r>
      <w:r w:rsidR="003E0BF0" w:rsidRPr="003E0BF0">
        <w:rPr>
          <w:rFonts w:asciiTheme="minorHAnsi" w:hAnsiTheme="minorHAnsi" w:cstheme="minorHAnsi"/>
          <w:szCs w:val="22"/>
        </w:rPr>
        <w:t>stabili</w:t>
      </w:r>
      <w:r w:rsidR="0037396E">
        <w:rPr>
          <w:rFonts w:asciiTheme="minorHAnsi" w:hAnsiTheme="minorHAnsi" w:cstheme="minorHAnsi"/>
          <w:szCs w:val="22"/>
        </w:rPr>
        <w:t>s</w:t>
      </w:r>
      <w:r w:rsidR="003E0BF0" w:rsidRPr="003E0BF0">
        <w:rPr>
          <w:rFonts w:asciiTheme="minorHAnsi" w:hAnsiTheme="minorHAnsi" w:cstheme="minorHAnsi"/>
          <w:szCs w:val="22"/>
        </w:rPr>
        <w:t>e as well.</w:t>
      </w:r>
      <w:r w:rsidR="002F25B9">
        <w:rPr>
          <w:rFonts w:asciiTheme="minorHAnsi" w:hAnsiTheme="minorHAnsi" w:cstheme="minorHAnsi"/>
          <w:szCs w:val="22"/>
        </w:rPr>
        <w:t xml:space="preserve"> </w:t>
      </w:r>
      <w:r w:rsidR="00250686">
        <w:rPr>
          <w:rFonts w:asciiTheme="minorHAnsi" w:hAnsiTheme="minorHAnsi" w:cstheme="minorHAnsi"/>
          <w:szCs w:val="22"/>
        </w:rPr>
        <w:t xml:space="preserve"> </w:t>
      </w:r>
      <w:r w:rsidR="002F25B9">
        <w:rPr>
          <w:rFonts w:asciiTheme="minorHAnsi" w:hAnsiTheme="minorHAnsi" w:cstheme="minorHAnsi"/>
          <w:szCs w:val="22"/>
        </w:rPr>
        <w:t>Meanwhile, low oil prices and high levels of market volatility have impacted portfolio valuations in 2015, contributing to the cooli</w:t>
      </w:r>
      <w:r w:rsidR="000E7D05">
        <w:rPr>
          <w:rFonts w:asciiTheme="minorHAnsi" w:hAnsiTheme="minorHAnsi" w:cstheme="minorHAnsi"/>
          <w:szCs w:val="22"/>
        </w:rPr>
        <w:t>ng in our second quarter profit</w:t>
      </w:r>
      <w:r w:rsidR="002F25B9">
        <w:rPr>
          <w:rFonts w:asciiTheme="minorHAnsi" w:hAnsiTheme="minorHAnsi" w:cstheme="minorHAnsi"/>
          <w:szCs w:val="22"/>
        </w:rPr>
        <w:t xml:space="preserve">. </w:t>
      </w:r>
    </w:p>
    <w:p w:rsidR="003E0BF0" w:rsidRDefault="003E0BF0" w:rsidP="003E0BF0">
      <w:pPr>
        <w:spacing w:line="288" w:lineRule="auto"/>
        <w:jc w:val="both"/>
        <w:rPr>
          <w:rFonts w:asciiTheme="minorHAnsi" w:hAnsiTheme="minorHAnsi" w:cstheme="minorHAnsi"/>
          <w:szCs w:val="22"/>
        </w:rPr>
      </w:pPr>
    </w:p>
    <w:p w:rsidR="00157CE2" w:rsidRDefault="00250686" w:rsidP="000E7D05">
      <w:pPr>
        <w:spacing w:line="288" w:lineRule="auto"/>
        <w:jc w:val="both"/>
        <w:rPr>
          <w:rFonts w:asciiTheme="minorHAnsi" w:hAnsiTheme="minorHAnsi" w:cstheme="minorHAnsi"/>
          <w:szCs w:val="22"/>
        </w:rPr>
      </w:pPr>
      <w:r>
        <w:rPr>
          <w:rFonts w:asciiTheme="minorHAnsi" w:hAnsiTheme="minorHAnsi" w:cstheme="minorHAnsi"/>
          <w:szCs w:val="22"/>
        </w:rPr>
        <w:t xml:space="preserve">“Our </w:t>
      </w:r>
      <w:r w:rsidRPr="003E0BF0">
        <w:rPr>
          <w:rFonts w:asciiTheme="minorHAnsi" w:hAnsiTheme="minorHAnsi" w:cstheme="minorHAnsi"/>
          <w:szCs w:val="22"/>
        </w:rPr>
        <w:t>fee generating businesses</w:t>
      </w:r>
      <w:r>
        <w:rPr>
          <w:rFonts w:asciiTheme="minorHAnsi" w:hAnsiTheme="minorHAnsi" w:cstheme="minorHAnsi"/>
          <w:szCs w:val="22"/>
        </w:rPr>
        <w:t xml:space="preserve"> continue to perform well, as demonstrated by our f</w:t>
      </w:r>
      <w:r w:rsidRPr="00250686">
        <w:rPr>
          <w:rFonts w:asciiTheme="minorHAnsi" w:hAnsiTheme="minorHAnsi" w:cstheme="minorHAnsi"/>
          <w:szCs w:val="22"/>
        </w:rPr>
        <w:t xml:space="preserve">iduciary assets under management </w:t>
      </w:r>
      <w:r>
        <w:rPr>
          <w:rFonts w:asciiTheme="minorHAnsi" w:hAnsiTheme="minorHAnsi" w:cstheme="minorHAnsi"/>
          <w:szCs w:val="22"/>
        </w:rPr>
        <w:t>increasing 16% since the end of</w:t>
      </w:r>
      <w:r w:rsidRPr="00250686">
        <w:rPr>
          <w:rFonts w:asciiTheme="minorHAnsi" w:hAnsiTheme="minorHAnsi" w:cstheme="minorHAnsi"/>
          <w:szCs w:val="22"/>
        </w:rPr>
        <w:t xml:space="preserve"> 2014 to AED 4.87 billion</w:t>
      </w:r>
      <w:r>
        <w:rPr>
          <w:rFonts w:asciiTheme="minorHAnsi" w:hAnsiTheme="minorHAnsi" w:cstheme="minorHAnsi"/>
          <w:szCs w:val="22"/>
        </w:rPr>
        <w:t>. In just five years, we</w:t>
      </w:r>
      <w:r w:rsidR="00A12398">
        <w:rPr>
          <w:rFonts w:asciiTheme="minorHAnsi" w:hAnsiTheme="minorHAnsi" w:cstheme="minorHAnsi"/>
          <w:szCs w:val="22"/>
        </w:rPr>
        <w:t xml:space="preserve"> </w:t>
      </w:r>
      <w:r w:rsidR="000E7D05">
        <w:rPr>
          <w:rFonts w:asciiTheme="minorHAnsi" w:hAnsiTheme="minorHAnsi" w:cstheme="minorHAnsi"/>
          <w:szCs w:val="22"/>
        </w:rPr>
        <w:t xml:space="preserve">have </w:t>
      </w:r>
      <w:r w:rsidR="003E0BF0" w:rsidRPr="003E0BF0">
        <w:rPr>
          <w:rFonts w:asciiTheme="minorHAnsi" w:hAnsiTheme="minorHAnsi" w:cstheme="minorHAnsi"/>
          <w:szCs w:val="22"/>
        </w:rPr>
        <w:t xml:space="preserve">established </w:t>
      </w:r>
      <w:r w:rsidR="00A12398">
        <w:rPr>
          <w:rFonts w:asciiTheme="minorHAnsi" w:hAnsiTheme="minorHAnsi" w:cstheme="minorHAnsi"/>
          <w:szCs w:val="22"/>
        </w:rPr>
        <w:t xml:space="preserve">successful </w:t>
      </w:r>
      <w:r w:rsidR="003E0BF0" w:rsidRPr="003E0BF0">
        <w:rPr>
          <w:rFonts w:asciiTheme="minorHAnsi" w:hAnsiTheme="minorHAnsi" w:cstheme="minorHAnsi"/>
          <w:szCs w:val="22"/>
        </w:rPr>
        <w:t xml:space="preserve">private banking and investment banking </w:t>
      </w:r>
      <w:r w:rsidR="00A12398">
        <w:rPr>
          <w:rFonts w:asciiTheme="minorHAnsi" w:hAnsiTheme="minorHAnsi" w:cstheme="minorHAnsi"/>
          <w:szCs w:val="22"/>
        </w:rPr>
        <w:t>businesses</w:t>
      </w:r>
      <w:r w:rsidR="003E0BF0" w:rsidRPr="003E0BF0">
        <w:rPr>
          <w:rFonts w:asciiTheme="minorHAnsi" w:hAnsiTheme="minorHAnsi" w:cstheme="minorHAnsi"/>
          <w:szCs w:val="22"/>
        </w:rPr>
        <w:t xml:space="preserve">.  We </w:t>
      </w:r>
      <w:r w:rsidR="000E7D05">
        <w:rPr>
          <w:rFonts w:asciiTheme="minorHAnsi" w:hAnsiTheme="minorHAnsi" w:cstheme="minorHAnsi"/>
          <w:szCs w:val="22"/>
        </w:rPr>
        <w:t xml:space="preserve">have </w:t>
      </w:r>
      <w:r w:rsidR="003E0BF0" w:rsidRPr="003E0BF0">
        <w:rPr>
          <w:rFonts w:asciiTheme="minorHAnsi" w:hAnsiTheme="minorHAnsi" w:cstheme="minorHAnsi"/>
          <w:szCs w:val="22"/>
        </w:rPr>
        <w:t xml:space="preserve">put in place the necessary infrastructure and systems, and recruited the required human resources to enable these businesses to deliver on future growth.  Our clients’ assets under management grew by </w:t>
      </w:r>
      <w:r w:rsidR="00FF7361">
        <w:rPr>
          <w:rFonts w:asciiTheme="minorHAnsi" w:hAnsiTheme="minorHAnsi" w:cstheme="minorHAnsi"/>
          <w:szCs w:val="22"/>
        </w:rPr>
        <w:t>more than ten</w:t>
      </w:r>
      <w:r w:rsidR="003E0BF0" w:rsidRPr="003E0BF0">
        <w:rPr>
          <w:rFonts w:asciiTheme="minorHAnsi" w:hAnsiTheme="minorHAnsi" w:cstheme="minorHAnsi"/>
          <w:szCs w:val="22"/>
        </w:rPr>
        <w:t xml:space="preserve"> times over </w:t>
      </w:r>
      <w:r w:rsidR="00A12398">
        <w:rPr>
          <w:rFonts w:asciiTheme="minorHAnsi" w:hAnsiTheme="minorHAnsi" w:cstheme="minorHAnsi"/>
          <w:szCs w:val="22"/>
        </w:rPr>
        <w:t>this period</w:t>
      </w:r>
      <w:r w:rsidR="003E0BF0" w:rsidRPr="003E0BF0">
        <w:rPr>
          <w:rFonts w:asciiTheme="minorHAnsi" w:hAnsiTheme="minorHAnsi" w:cstheme="minorHAnsi"/>
          <w:szCs w:val="22"/>
        </w:rPr>
        <w:t>.  This fast rate of growth reflects the strength of our client relationships and the quality of the services we offer.  Our priority going forward is to further strengthen these relationships and continue to enhance our service offering.”</w:t>
      </w:r>
    </w:p>
    <w:p w:rsidR="006275CE" w:rsidRDefault="006275CE" w:rsidP="00AE0CD3">
      <w:pPr>
        <w:spacing w:line="288" w:lineRule="auto"/>
        <w:jc w:val="both"/>
        <w:rPr>
          <w:rFonts w:asciiTheme="minorHAnsi" w:hAnsiTheme="minorHAnsi" w:cstheme="minorHAnsi"/>
          <w:szCs w:val="22"/>
        </w:rPr>
      </w:pPr>
    </w:p>
    <w:p w:rsidR="001746DF" w:rsidRPr="00FC5434" w:rsidRDefault="001746DF" w:rsidP="00BF7F92">
      <w:pPr>
        <w:spacing w:line="288" w:lineRule="auto"/>
        <w:jc w:val="center"/>
        <w:rPr>
          <w:rFonts w:asciiTheme="minorHAnsi" w:hAnsiTheme="minorHAnsi" w:cstheme="minorHAnsi"/>
          <w:b/>
          <w:bCs/>
          <w:szCs w:val="22"/>
        </w:rPr>
      </w:pPr>
      <w:r w:rsidRPr="00FC5434">
        <w:rPr>
          <w:rFonts w:asciiTheme="minorHAnsi" w:hAnsiTheme="minorHAnsi" w:cstheme="minorHAnsi"/>
          <w:b/>
          <w:bCs/>
          <w:szCs w:val="22"/>
        </w:rPr>
        <w:t>---ENDS---</w:t>
      </w:r>
    </w:p>
    <w:p w:rsidR="00D40137" w:rsidRDefault="00D40137" w:rsidP="001B0D5A">
      <w:pPr>
        <w:spacing w:line="288" w:lineRule="auto"/>
        <w:jc w:val="both"/>
        <w:rPr>
          <w:rFonts w:asciiTheme="minorHAnsi" w:hAnsiTheme="minorHAnsi" w:cstheme="minorHAnsi"/>
          <w:b/>
          <w:bCs/>
          <w:szCs w:val="22"/>
        </w:rPr>
      </w:pPr>
    </w:p>
    <w:p w:rsidR="00D40137" w:rsidRDefault="00D40137" w:rsidP="001B0D5A">
      <w:pPr>
        <w:spacing w:line="288" w:lineRule="auto"/>
        <w:jc w:val="both"/>
        <w:rPr>
          <w:rFonts w:asciiTheme="minorHAnsi" w:hAnsiTheme="minorHAnsi" w:cstheme="minorHAnsi"/>
          <w:b/>
          <w:bCs/>
          <w:szCs w:val="22"/>
        </w:rPr>
      </w:pPr>
    </w:p>
    <w:p w:rsidR="000E7D05" w:rsidRDefault="000E7D05" w:rsidP="001B0D5A">
      <w:pPr>
        <w:spacing w:line="288" w:lineRule="auto"/>
        <w:jc w:val="both"/>
        <w:rPr>
          <w:rFonts w:asciiTheme="minorHAnsi" w:hAnsiTheme="minorHAnsi" w:cstheme="minorHAnsi"/>
          <w:b/>
          <w:bCs/>
          <w:szCs w:val="22"/>
        </w:rPr>
      </w:pPr>
    </w:p>
    <w:p w:rsidR="001746DF" w:rsidRPr="00FC5434" w:rsidRDefault="001746DF" w:rsidP="001B0D5A">
      <w:pPr>
        <w:spacing w:line="288" w:lineRule="auto"/>
        <w:jc w:val="both"/>
        <w:rPr>
          <w:rFonts w:asciiTheme="minorHAnsi" w:hAnsiTheme="minorHAnsi" w:cstheme="minorHAnsi"/>
          <w:b/>
          <w:bCs/>
          <w:szCs w:val="22"/>
        </w:rPr>
      </w:pPr>
      <w:r w:rsidRPr="00FC5434">
        <w:rPr>
          <w:rFonts w:asciiTheme="minorHAnsi" w:hAnsiTheme="minorHAnsi" w:cstheme="minorHAnsi"/>
          <w:b/>
          <w:bCs/>
          <w:szCs w:val="22"/>
        </w:rPr>
        <w:lastRenderedPageBreak/>
        <w:t>For media enquiries:</w:t>
      </w:r>
      <w:r w:rsidR="00923D5D">
        <w:rPr>
          <w:rFonts w:asciiTheme="minorHAnsi" w:hAnsiTheme="minorHAnsi" w:cstheme="minorHAnsi"/>
          <w:b/>
          <w:bCs/>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1"/>
        <w:gridCol w:w="3081"/>
      </w:tblGrid>
      <w:tr w:rsidR="00A5278B" w:rsidRPr="00FC5434" w:rsidTr="00B81E17">
        <w:tc>
          <w:tcPr>
            <w:tcW w:w="3081" w:type="dxa"/>
          </w:tcPr>
          <w:p w:rsidR="00A5278B" w:rsidRPr="00FA3008" w:rsidRDefault="00A5278B" w:rsidP="00BF7F92">
            <w:pPr>
              <w:spacing w:line="288" w:lineRule="auto"/>
              <w:jc w:val="both"/>
              <w:rPr>
                <w:rFonts w:asciiTheme="minorHAnsi" w:hAnsiTheme="minorHAnsi" w:cstheme="minorHAnsi"/>
                <w:i/>
                <w:iCs/>
                <w:sz w:val="18"/>
                <w:szCs w:val="18"/>
              </w:rPr>
            </w:pPr>
            <w:r w:rsidRPr="00FA3008">
              <w:rPr>
                <w:rFonts w:asciiTheme="minorHAnsi" w:hAnsiTheme="minorHAnsi" w:cstheme="minorHAnsi"/>
                <w:i/>
                <w:iCs/>
                <w:sz w:val="18"/>
                <w:szCs w:val="18"/>
              </w:rPr>
              <w:t>Emirates Investment Bank</w:t>
            </w:r>
          </w:p>
          <w:p w:rsidR="00A5278B" w:rsidRPr="00FA3008" w:rsidRDefault="00C47520" w:rsidP="00001FC3">
            <w:pPr>
              <w:spacing w:line="288" w:lineRule="auto"/>
              <w:jc w:val="both"/>
              <w:rPr>
                <w:rFonts w:asciiTheme="minorHAnsi" w:hAnsiTheme="minorHAnsi" w:cstheme="minorHAnsi"/>
                <w:sz w:val="18"/>
                <w:szCs w:val="18"/>
              </w:rPr>
            </w:pPr>
            <w:r>
              <w:rPr>
                <w:rFonts w:asciiTheme="minorHAnsi" w:hAnsiTheme="minorHAnsi" w:cstheme="minorHAnsi"/>
                <w:sz w:val="18"/>
                <w:szCs w:val="18"/>
              </w:rPr>
              <w:t>Rebecca Clark</w:t>
            </w:r>
            <w:r w:rsidR="00001FC3">
              <w:rPr>
                <w:rFonts w:asciiTheme="minorHAnsi" w:hAnsiTheme="minorHAnsi" w:cstheme="minorHAnsi"/>
                <w:sz w:val="18"/>
                <w:szCs w:val="18"/>
              </w:rPr>
              <w:t>e</w:t>
            </w:r>
          </w:p>
          <w:p w:rsidR="00A5278B" w:rsidRPr="00FA3008" w:rsidRDefault="00A5278B" w:rsidP="00F73B93">
            <w:pPr>
              <w:spacing w:line="288" w:lineRule="auto"/>
              <w:jc w:val="both"/>
              <w:rPr>
                <w:rFonts w:asciiTheme="minorHAnsi" w:hAnsiTheme="minorHAnsi" w:cstheme="minorHAnsi"/>
                <w:sz w:val="18"/>
                <w:szCs w:val="18"/>
              </w:rPr>
            </w:pPr>
            <w:r w:rsidRPr="00FA3008">
              <w:rPr>
                <w:rFonts w:asciiTheme="minorHAnsi" w:hAnsiTheme="minorHAnsi" w:cstheme="minorHAnsi"/>
                <w:sz w:val="18"/>
                <w:szCs w:val="18"/>
              </w:rPr>
              <w:t>+971 4 2317 7</w:t>
            </w:r>
            <w:r w:rsidR="00C47520">
              <w:rPr>
                <w:rFonts w:asciiTheme="minorHAnsi" w:hAnsiTheme="minorHAnsi" w:cstheme="minorHAnsi"/>
                <w:sz w:val="18"/>
                <w:szCs w:val="18"/>
              </w:rPr>
              <w:t>20</w:t>
            </w:r>
          </w:p>
          <w:p w:rsidR="00A5278B" w:rsidRPr="00FA3008" w:rsidRDefault="00A5278B" w:rsidP="001E35D3">
            <w:pPr>
              <w:spacing w:line="288" w:lineRule="auto"/>
              <w:rPr>
                <w:rFonts w:asciiTheme="minorHAnsi" w:hAnsiTheme="minorHAnsi" w:cstheme="minorHAnsi"/>
                <w:sz w:val="18"/>
                <w:szCs w:val="18"/>
              </w:rPr>
            </w:pPr>
            <w:r w:rsidRPr="00B81E17">
              <w:rPr>
                <w:rFonts w:asciiTheme="minorHAnsi" w:hAnsiTheme="minorHAnsi" w:cstheme="minorHAnsi"/>
                <w:sz w:val="18"/>
                <w:szCs w:val="18"/>
              </w:rPr>
              <w:t>Rebecca.Clarke@eibank.com</w:t>
            </w:r>
          </w:p>
        </w:tc>
        <w:tc>
          <w:tcPr>
            <w:tcW w:w="3081" w:type="dxa"/>
          </w:tcPr>
          <w:p w:rsidR="00A5278B" w:rsidRPr="00FA3008" w:rsidRDefault="00A5278B" w:rsidP="00BF7F92">
            <w:pPr>
              <w:spacing w:line="288" w:lineRule="auto"/>
              <w:jc w:val="both"/>
              <w:rPr>
                <w:rFonts w:asciiTheme="minorHAnsi" w:hAnsiTheme="minorHAnsi" w:cstheme="minorHAnsi"/>
                <w:i/>
                <w:iCs/>
                <w:sz w:val="18"/>
                <w:szCs w:val="18"/>
              </w:rPr>
            </w:pPr>
            <w:r w:rsidRPr="00FA3008">
              <w:rPr>
                <w:rFonts w:asciiTheme="minorHAnsi" w:hAnsiTheme="minorHAnsi" w:cstheme="minorHAnsi"/>
                <w:i/>
                <w:iCs/>
                <w:sz w:val="18"/>
                <w:szCs w:val="18"/>
              </w:rPr>
              <w:t>Brunswick Group</w:t>
            </w:r>
          </w:p>
          <w:p w:rsidR="00A5278B" w:rsidRPr="00FA3008" w:rsidRDefault="00467FBE" w:rsidP="00BF7F92">
            <w:pPr>
              <w:spacing w:line="288" w:lineRule="auto"/>
              <w:jc w:val="both"/>
              <w:rPr>
                <w:rFonts w:asciiTheme="minorHAnsi" w:hAnsiTheme="minorHAnsi" w:cstheme="minorHAnsi"/>
                <w:sz w:val="18"/>
                <w:szCs w:val="18"/>
              </w:rPr>
            </w:pPr>
            <w:r>
              <w:rPr>
                <w:rFonts w:asciiTheme="minorHAnsi" w:hAnsiTheme="minorHAnsi" w:cstheme="minorHAnsi"/>
                <w:sz w:val="18"/>
                <w:szCs w:val="18"/>
              </w:rPr>
              <w:t>Edward Moore</w:t>
            </w:r>
          </w:p>
          <w:p w:rsidR="00A5278B" w:rsidRPr="00FA3008" w:rsidRDefault="00A5278B" w:rsidP="00FD61FD">
            <w:pPr>
              <w:spacing w:line="288" w:lineRule="auto"/>
              <w:jc w:val="both"/>
              <w:rPr>
                <w:rFonts w:asciiTheme="minorHAnsi" w:hAnsiTheme="minorHAnsi" w:cstheme="minorHAnsi"/>
                <w:sz w:val="18"/>
                <w:szCs w:val="18"/>
              </w:rPr>
            </w:pPr>
            <w:r w:rsidRPr="00FA3008">
              <w:rPr>
                <w:rFonts w:asciiTheme="minorHAnsi" w:hAnsiTheme="minorHAnsi" w:cstheme="minorHAnsi"/>
                <w:sz w:val="18"/>
                <w:szCs w:val="18"/>
              </w:rPr>
              <w:t>+971 4 446 628</w:t>
            </w:r>
            <w:r>
              <w:rPr>
                <w:rFonts w:asciiTheme="minorHAnsi" w:hAnsiTheme="minorHAnsi" w:cstheme="minorHAnsi"/>
                <w:sz w:val="18"/>
                <w:szCs w:val="18"/>
              </w:rPr>
              <w:t>5</w:t>
            </w:r>
          </w:p>
          <w:p w:rsidR="00A5278B" w:rsidRPr="00FA3008" w:rsidRDefault="007B7893" w:rsidP="00BF7F92">
            <w:pPr>
              <w:spacing w:line="288" w:lineRule="auto"/>
              <w:jc w:val="both"/>
              <w:rPr>
                <w:rFonts w:asciiTheme="minorHAnsi" w:hAnsiTheme="minorHAnsi" w:cstheme="minorHAnsi"/>
                <w:sz w:val="18"/>
                <w:szCs w:val="18"/>
              </w:rPr>
            </w:pPr>
            <w:hyperlink r:id="rId8" w:history="1">
              <w:r w:rsidR="00A5278B" w:rsidRPr="00FA3008">
                <w:rPr>
                  <w:rFonts w:asciiTheme="minorHAnsi" w:hAnsiTheme="minorHAnsi" w:cstheme="minorHAnsi"/>
                  <w:sz w:val="18"/>
                  <w:szCs w:val="18"/>
                </w:rPr>
                <w:t>EIBank@brunswickgroup.com</w:t>
              </w:r>
            </w:hyperlink>
            <w:r w:rsidR="00A5278B" w:rsidRPr="00FA3008">
              <w:rPr>
                <w:rFonts w:asciiTheme="minorHAnsi" w:hAnsiTheme="minorHAnsi" w:cstheme="minorHAnsi"/>
                <w:sz w:val="18"/>
                <w:szCs w:val="18"/>
              </w:rPr>
              <w:t xml:space="preserve"> </w:t>
            </w:r>
          </w:p>
        </w:tc>
      </w:tr>
    </w:tbl>
    <w:p w:rsidR="00923D5D" w:rsidRDefault="00923D5D" w:rsidP="00BF7F92">
      <w:pPr>
        <w:spacing w:line="288" w:lineRule="auto"/>
        <w:jc w:val="both"/>
        <w:rPr>
          <w:rFonts w:asciiTheme="minorHAnsi" w:hAnsiTheme="minorHAnsi" w:cstheme="minorHAnsi"/>
          <w:b/>
          <w:bCs/>
          <w:szCs w:val="22"/>
        </w:rPr>
      </w:pPr>
    </w:p>
    <w:p w:rsidR="00D40137" w:rsidRDefault="00D40137" w:rsidP="00BF7F92">
      <w:pPr>
        <w:spacing w:line="288" w:lineRule="auto"/>
        <w:jc w:val="both"/>
        <w:rPr>
          <w:rFonts w:asciiTheme="minorHAnsi" w:hAnsiTheme="minorHAnsi" w:cstheme="minorHAnsi"/>
          <w:b/>
          <w:bCs/>
          <w:szCs w:val="22"/>
        </w:rPr>
      </w:pPr>
    </w:p>
    <w:p w:rsidR="009C4F8B" w:rsidRPr="00FC5434" w:rsidRDefault="009C4F8B" w:rsidP="00BF7F92">
      <w:pPr>
        <w:spacing w:line="288" w:lineRule="auto"/>
        <w:jc w:val="both"/>
        <w:rPr>
          <w:rFonts w:asciiTheme="minorHAnsi" w:hAnsiTheme="minorHAnsi" w:cstheme="minorHAnsi"/>
          <w:b/>
          <w:bCs/>
          <w:szCs w:val="22"/>
        </w:rPr>
      </w:pPr>
      <w:r w:rsidRPr="00FC5434">
        <w:rPr>
          <w:rFonts w:asciiTheme="minorHAnsi" w:hAnsiTheme="minorHAnsi" w:cstheme="minorHAnsi"/>
          <w:b/>
          <w:bCs/>
          <w:szCs w:val="22"/>
        </w:rPr>
        <w:t xml:space="preserve">About </w:t>
      </w:r>
      <w:r w:rsidR="008A3E03" w:rsidRPr="00FC5434">
        <w:rPr>
          <w:rFonts w:asciiTheme="minorHAnsi" w:hAnsiTheme="minorHAnsi" w:cstheme="minorHAnsi"/>
          <w:b/>
          <w:bCs/>
          <w:szCs w:val="22"/>
        </w:rPr>
        <w:t>Emirates Investment Bank</w:t>
      </w:r>
      <w:r w:rsidR="001E0AF3" w:rsidRPr="00FC5434">
        <w:rPr>
          <w:rFonts w:asciiTheme="minorHAnsi" w:hAnsiTheme="minorHAnsi" w:cstheme="minorHAnsi"/>
          <w:b/>
          <w:bCs/>
          <w:szCs w:val="22"/>
        </w:rPr>
        <w:t xml:space="preserve"> pjsc</w:t>
      </w:r>
      <w:r w:rsidR="00BF7F92" w:rsidRPr="00FC5434">
        <w:rPr>
          <w:rFonts w:asciiTheme="minorHAnsi" w:hAnsiTheme="minorHAnsi" w:cstheme="minorHAnsi"/>
          <w:b/>
          <w:bCs/>
          <w:szCs w:val="22"/>
        </w:rPr>
        <w:t>:</w:t>
      </w:r>
    </w:p>
    <w:p w:rsidR="009C4F8B" w:rsidRPr="00FC5434" w:rsidRDefault="009C4F8B" w:rsidP="00BF7F92">
      <w:pPr>
        <w:spacing w:line="288" w:lineRule="auto"/>
        <w:jc w:val="both"/>
        <w:rPr>
          <w:rFonts w:asciiTheme="minorHAnsi" w:hAnsiTheme="minorHAnsi" w:cstheme="minorHAnsi"/>
          <w:szCs w:val="22"/>
        </w:rPr>
      </w:pPr>
    </w:p>
    <w:p w:rsidR="00403947" w:rsidRDefault="00403947" w:rsidP="00403947">
      <w:pPr>
        <w:spacing w:line="288" w:lineRule="auto"/>
        <w:jc w:val="both"/>
        <w:rPr>
          <w:rFonts w:asciiTheme="minorHAnsi" w:hAnsiTheme="minorHAnsi" w:cstheme="minorHAnsi"/>
          <w:szCs w:val="22"/>
        </w:rPr>
      </w:pPr>
      <w:r w:rsidRPr="00C030C2">
        <w:rPr>
          <w:rFonts w:asciiTheme="minorHAnsi" w:hAnsiTheme="minorHAnsi" w:cstheme="minorHAnsi"/>
          <w:szCs w:val="22"/>
        </w:rPr>
        <w:t>Emirates Investment Bank is a</w:t>
      </w:r>
      <w:r>
        <w:rPr>
          <w:rFonts w:asciiTheme="minorHAnsi" w:hAnsiTheme="minorHAnsi" w:cstheme="minorHAnsi"/>
          <w:szCs w:val="22"/>
        </w:rPr>
        <w:t>n</w:t>
      </w:r>
      <w:r w:rsidRPr="00C030C2">
        <w:rPr>
          <w:rFonts w:asciiTheme="minorHAnsi" w:hAnsiTheme="minorHAnsi" w:cstheme="minorHAnsi"/>
          <w:szCs w:val="22"/>
        </w:rPr>
        <w:t xml:space="preserve"> independent private and investment banking boutique operating in the Middle East and headquartered in Dubai, UAE.</w:t>
      </w:r>
      <w:r>
        <w:rPr>
          <w:rFonts w:asciiTheme="minorHAnsi" w:hAnsiTheme="minorHAnsi" w:cstheme="minorHAnsi"/>
          <w:szCs w:val="22"/>
        </w:rPr>
        <w:t xml:space="preserve"> </w:t>
      </w:r>
      <w:r w:rsidRPr="003071B9">
        <w:rPr>
          <w:rFonts w:asciiTheme="minorHAnsi" w:hAnsiTheme="minorHAnsi" w:cstheme="minorHAnsi"/>
          <w:szCs w:val="22"/>
        </w:rPr>
        <w:t xml:space="preserve">It offers highly </w:t>
      </w:r>
      <w:r>
        <w:rPr>
          <w:rFonts w:asciiTheme="minorHAnsi" w:hAnsiTheme="minorHAnsi" w:cstheme="minorHAnsi"/>
          <w:szCs w:val="22"/>
        </w:rPr>
        <w:t xml:space="preserve">customised </w:t>
      </w:r>
      <w:r w:rsidRPr="003071B9">
        <w:rPr>
          <w:rFonts w:asciiTheme="minorHAnsi" w:hAnsiTheme="minorHAnsi" w:cstheme="minorHAnsi"/>
          <w:szCs w:val="22"/>
        </w:rPr>
        <w:t xml:space="preserve">services through two primary business </w:t>
      </w:r>
      <w:r>
        <w:rPr>
          <w:rFonts w:asciiTheme="minorHAnsi" w:hAnsiTheme="minorHAnsi" w:cstheme="minorHAnsi"/>
          <w:szCs w:val="22"/>
        </w:rPr>
        <w:t>lines</w:t>
      </w:r>
      <w:r>
        <w:rPr>
          <w:rFonts w:asciiTheme="minorHAnsi" w:hAnsiTheme="minorHAnsi" w:cstheme="minorHAnsi"/>
          <w:szCs w:val="22"/>
          <w:lang w:val="en-US"/>
        </w:rPr>
        <w:t>:</w:t>
      </w:r>
    </w:p>
    <w:p w:rsidR="00403947" w:rsidRPr="003071B9" w:rsidRDefault="00403947" w:rsidP="00403947">
      <w:pPr>
        <w:spacing w:line="288" w:lineRule="auto"/>
        <w:jc w:val="both"/>
        <w:rPr>
          <w:rFonts w:asciiTheme="minorHAnsi" w:hAnsiTheme="minorHAnsi" w:cstheme="minorHAnsi"/>
          <w:szCs w:val="22"/>
        </w:rPr>
      </w:pPr>
    </w:p>
    <w:p w:rsidR="00403947" w:rsidRDefault="00403947" w:rsidP="00403947">
      <w:pPr>
        <w:pStyle w:val="ListParagraph"/>
        <w:numPr>
          <w:ilvl w:val="0"/>
          <w:numId w:val="12"/>
        </w:numPr>
        <w:spacing w:line="288" w:lineRule="auto"/>
        <w:jc w:val="both"/>
        <w:rPr>
          <w:rFonts w:asciiTheme="minorHAnsi" w:hAnsiTheme="minorHAnsi" w:cstheme="minorHAnsi"/>
          <w:szCs w:val="22"/>
        </w:rPr>
      </w:pPr>
      <w:r w:rsidRPr="00D634E9">
        <w:rPr>
          <w:rFonts w:asciiTheme="minorHAnsi" w:hAnsiTheme="minorHAnsi" w:cstheme="minorHAnsi"/>
          <w:b/>
          <w:bCs/>
          <w:szCs w:val="22"/>
        </w:rPr>
        <w:t>Private Banking:</w:t>
      </w:r>
      <w:r>
        <w:rPr>
          <w:rFonts w:asciiTheme="minorHAnsi" w:hAnsiTheme="minorHAnsi" w:cstheme="minorHAnsi"/>
          <w:szCs w:val="22"/>
        </w:rPr>
        <w:t xml:space="preserve"> Emirates Investment Bank works closely with a select yet diverse client base of High Net Worth individuals and institutions to bring them tailor-made wealth planning services and investment solutions sourced from all over the world.   </w:t>
      </w:r>
    </w:p>
    <w:p w:rsidR="00403947" w:rsidRPr="003071B9" w:rsidRDefault="00403947" w:rsidP="00403947">
      <w:pPr>
        <w:pStyle w:val="ListParagraph"/>
        <w:spacing w:line="288" w:lineRule="auto"/>
        <w:jc w:val="both"/>
        <w:rPr>
          <w:rFonts w:asciiTheme="minorHAnsi" w:hAnsiTheme="minorHAnsi" w:cstheme="minorHAnsi"/>
          <w:szCs w:val="22"/>
        </w:rPr>
      </w:pPr>
    </w:p>
    <w:p w:rsidR="00403947" w:rsidRPr="003071B9" w:rsidRDefault="00403947" w:rsidP="00403947">
      <w:pPr>
        <w:pStyle w:val="ListParagraph"/>
        <w:numPr>
          <w:ilvl w:val="0"/>
          <w:numId w:val="12"/>
        </w:numPr>
        <w:spacing w:line="288" w:lineRule="auto"/>
        <w:jc w:val="both"/>
        <w:rPr>
          <w:rFonts w:asciiTheme="minorHAnsi" w:hAnsiTheme="minorHAnsi" w:cstheme="minorHAnsi"/>
          <w:szCs w:val="22"/>
        </w:rPr>
      </w:pPr>
      <w:r w:rsidRPr="00D634E9">
        <w:rPr>
          <w:rFonts w:asciiTheme="minorHAnsi" w:hAnsiTheme="minorHAnsi" w:cstheme="minorHAnsi"/>
          <w:b/>
          <w:bCs/>
          <w:szCs w:val="22"/>
        </w:rPr>
        <w:t>Investment Banking</w:t>
      </w:r>
      <w:r>
        <w:rPr>
          <w:rFonts w:asciiTheme="minorHAnsi" w:hAnsiTheme="minorHAnsi" w:cstheme="minorHAnsi"/>
          <w:szCs w:val="22"/>
        </w:rPr>
        <w:t>: Emirates Investment Bank’s professional financial advisory team provides its clients with innovative investment banking services including Mergers &amp; Acquisition (M&amp;A), balance sheet restructuring as well as access to regional capital markets.</w:t>
      </w:r>
    </w:p>
    <w:p w:rsidR="00403947" w:rsidRDefault="00403947" w:rsidP="00403947">
      <w:pPr>
        <w:spacing w:line="288" w:lineRule="auto"/>
        <w:jc w:val="both"/>
        <w:rPr>
          <w:rFonts w:asciiTheme="minorHAnsi" w:hAnsiTheme="minorHAnsi" w:cstheme="minorHAnsi"/>
          <w:szCs w:val="22"/>
        </w:rPr>
      </w:pPr>
    </w:p>
    <w:p w:rsidR="00CB2799" w:rsidRPr="007D0EC4" w:rsidRDefault="00403947" w:rsidP="007D0EC4">
      <w:pPr>
        <w:spacing w:line="288" w:lineRule="auto"/>
        <w:jc w:val="both"/>
        <w:rPr>
          <w:rFonts w:asciiTheme="minorHAnsi" w:hAnsiTheme="minorHAnsi" w:cstheme="minorBidi"/>
          <w:szCs w:val="22"/>
          <w:rtl/>
          <w:lang w:bidi="ar-SY"/>
        </w:rPr>
      </w:pPr>
      <w:r w:rsidRPr="003071B9">
        <w:rPr>
          <w:rFonts w:asciiTheme="minorHAnsi" w:hAnsiTheme="minorHAnsi" w:cstheme="minorHAnsi"/>
          <w:szCs w:val="22"/>
        </w:rPr>
        <w:t>Emirates Investment Bank is regulated by the Central Bank</w:t>
      </w:r>
      <w:r>
        <w:rPr>
          <w:rFonts w:asciiTheme="minorHAnsi" w:hAnsiTheme="minorHAnsi" w:cstheme="minorHAnsi"/>
          <w:szCs w:val="22"/>
        </w:rPr>
        <w:t xml:space="preserve"> of the UAE</w:t>
      </w:r>
      <w:r w:rsidRPr="003071B9">
        <w:rPr>
          <w:rFonts w:asciiTheme="minorHAnsi" w:hAnsiTheme="minorHAnsi" w:cstheme="minorHAnsi"/>
          <w:szCs w:val="22"/>
        </w:rPr>
        <w:t xml:space="preserve">, and as a listed entity on the Dubai Financial Market (Ticker: EIBank), it is also supervised by the Emirates Securities and Commodities Authority. For further information, please visit: </w:t>
      </w:r>
      <w:hyperlink r:id="rId9" w:history="1">
        <w:r w:rsidRPr="003071B9">
          <w:rPr>
            <w:rFonts w:asciiTheme="minorHAnsi" w:hAnsiTheme="minorHAnsi" w:cstheme="minorHAnsi"/>
            <w:szCs w:val="22"/>
          </w:rPr>
          <w:t>www.eibank.com</w:t>
        </w:r>
      </w:hyperlink>
      <w:r>
        <w:rPr>
          <w:rFonts w:asciiTheme="minorHAnsi" w:hAnsiTheme="minorHAnsi" w:cstheme="minorHAnsi"/>
          <w:szCs w:val="22"/>
        </w:rPr>
        <w:t>.</w:t>
      </w:r>
    </w:p>
    <w:sectPr w:rsidR="00CB2799" w:rsidRPr="007D0EC4" w:rsidSect="00B81E17">
      <w:headerReference w:type="default" r:id="rId1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893" w:rsidRDefault="007B7893" w:rsidP="004C3492">
      <w:r>
        <w:separator/>
      </w:r>
    </w:p>
  </w:endnote>
  <w:endnote w:type="continuationSeparator" w:id="0">
    <w:p w:rsidR="007B7893" w:rsidRDefault="007B7893" w:rsidP="004C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893" w:rsidRDefault="007B7893" w:rsidP="004C3492">
      <w:r>
        <w:separator/>
      </w:r>
    </w:p>
  </w:footnote>
  <w:footnote w:type="continuationSeparator" w:id="0">
    <w:p w:rsidR="007B7893" w:rsidRDefault="007B7893" w:rsidP="004C3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2943"/>
      <w:gridCol w:w="6299"/>
    </w:tblGrid>
    <w:tr w:rsidR="006275CE" w:rsidRPr="006275CE" w:rsidTr="00845A08">
      <w:tc>
        <w:tcPr>
          <w:tcW w:w="2943" w:type="dxa"/>
          <w:vAlign w:val="center"/>
        </w:tcPr>
        <w:p w:rsidR="001821A7" w:rsidRPr="006275CE" w:rsidRDefault="001821A7" w:rsidP="008A3E03">
          <w:pPr>
            <w:tabs>
              <w:tab w:val="center" w:pos="4320"/>
              <w:tab w:val="right" w:pos="8640"/>
            </w:tabs>
            <w:rPr>
              <w:rFonts w:asciiTheme="minorHAnsi" w:hAnsiTheme="minorHAnsi" w:cstheme="minorHAnsi"/>
              <w:sz w:val="32"/>
              <w:szCs w:val="36"/>
            </w:rPr>
          </w:pPr>
          <w:r w:rsidRPr="006275CE">
            <w:rPr>
              <w:rFonts w:asciiTheme="minorHAnsi" w:hAnsiTheme="minorHAnsi" w:cstheme="minorHAnsi"/>
              <w:sz w:val="32"/>
              <w:szCs w:val="36"/>
            </w:rPr>
            <w:t>Press Release</w:t>
          </w:r>
        </w:p>
      </w:tc>
      <w:tc>
        <w:tcPr>
          <w:tcW w:w="6299" w:type="dxa"/>
          <w:vAlign w:val="center"/>
        </w:tcPr>
        <w:p w:rsidR="001821A7" w:rsidRPr="006275CE" w:rsidRDefault="001821A7" w:rsidP="00845A08">
          <w:pPr>
            <w:tabs>
              <w:tab w:val="center" w:pos="4320"/>
              <w:tab w:val="right" w:pos="8640"/>
            </w:tabs>
            <w:jc w:val="right"/>
            <w:rPr>
              <w:sz w:val="24"/>
              <w:szCs w:val="28"/>
            </w:rPr>
          </w:pPr>
          <w:r w:rsidRPr="006275CE">
            <w:rPr>
              <w:sz w:val="24"/>
              <w:szCs w:val="28"/>
            </w:rPr>
            <w:t xml:space="preserve">    </w:t>
          </w:r>
          <w:r w:rsidRPr="006275CE">
            <w:rPr>
              <w:noProof/>
              <w:sz w:val="24"/>
              <w:szCs w:val="28"/>
              <w:lang w:val="en-US"/>
            </w:rPr>
            <w:drawing>
              <wp:inline distT="0" distB="0" distL="0" distR="0" wp14:anchorId="325DBDC9" wp14:editId="51469053">
                <wp:extent cx="1155801" cy="749709"/>
                <wp:effectExtent l="0" t="0" r="6350" b="0"/>
                <wp:docPr id="2" name="Picture 2" descr="\\brunswick.pri\core\bnet\dub\Companies\35177\Accounts\29155\Lists\Shared Documents\Images\Logos\eib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runswick.pri\core\bnet\dub\Companies\35177\Accounts\29155\Lists\Shared Documents\Images\Logos\eib_logo_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56" cy="752145"/>
                        </a:xfrm>
                        <a:prstGeom prst="rect">
                          <a:avLst/>
                        </a:prstGeom>
                        <a:noFill/>
                        <a:extLst/>
                      </pic:spPr>
                    </pic:pic>
                  </a:graphicData>
                </a:graphic>
              </wp:inline>
            </w:drawing>
          </w:r>
        </w:p>
      </w:tc>
    </w:tr>
  </w:tbl>
  <w:p w:rsidR="001821A7" w:rsidRPr="006275CE" w:rsidRDefault="001821A7" w:rsidP="000914EF">
    <w:pPr>
      <w:rPr>
        <w:rFonts w:cs="Calibri"/>
        <w:bCs/>
        <w:lang w:val="en-US"/>
      </w:rPr>
    </w:pPr>
  </w:p>
  <w:p w:rsidR="001821A7" w:rsidRPr="006275CE" w:rsidRDefault="00182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014"/>
    <w:multiLevelType w:val="hybridMultilevel"/>
    <w:tmpl w:val="E44A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222B27"/>
    <w:multiLevelType w:val="hybridMultilevel"/>
    <w:tmpl w:val="66265832"/>
    <w:lvl w:ilvl="0" w:tplc="2DC2F4AC">
      <w:start w:val="1"/>
      <w:numFmt w:val="bullet"/>
      <w:lvlText w:val="»"/>
      <w:lvlJc w:val="left"/>
      <w:pPr>
        <w:ind w:left="360" w:hanging="360"/>
      </w:pPr>
      <w:rPr>
        <w:rFonts w:ascii="Myriad Pro" w:hAnsi="Myriad Pro"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0571DD6"/>
    <w:multiLevelType w:val="hybridMultilevel"/>
    <w:tmpl w:val="86640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90E188C"/>
    <w:multiLevelType w:val="hybridMultilevel"/>
    <w:tmpl w:val="EAEE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3A5966"/>
    <w:multiLevelType w:val="hybridMultilevel"/>
    <w:tmpl w:val="C336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EC3EE9"/>
    <w:multiLevelType w:val="hybridMultilevel"/>
    <w:tmpl w:val="7C6EF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ADD4D29"/>
    <w:multiLevelType w:val="hybridMultilevel"/>
    <w:tmpl w:val="B2748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B3D17C7"/>
    <w:multiLevelType w:val="hybridMultilevel"/>
    <w:tmpl w:val="B50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B884C3A"/>
    <w:multiLevelType w:val="hybridMultilevel"/>
    <w:tmpl w:val="3E6A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5F61AE"/>
    <w:multiLevelType w:val="hybridMultilevel"/>
    <w:tmpl w:val="3C58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B67B06"/>
    <w:multiLevelType w:val="hybridMultilevel"/>
    <w:tmpl w:val="EFC04D00"/>
    <w:lvl w:ilvl="0" w:tplc="0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0"/>
  </w:num>
  <w:num w:numId="4">
    <w:abstractNumId w:val="10"/>
  </w:num>
  <w:num w:numId="5">
    <w:abstractNumId w:val="0"/>
  </w:num>
  <w:num w:numId="6">
    <w:abstractNumId w:val="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4"/>
  </w:num>
  <w:num w:numId="12">
    <w:abstractNumId w:val="8"/>
  </w:num>
  <w:num w:numId="13">
    <w:abstractNumId w:val="7"/>
  </w:num>
  <w:num w:numId="14">
    <w:abstractNumId w:val="1"/>
  </w:num>
  <w:num w:numId="15">
    <w:abstractNumId w:val="9"/>
  </w:num>
  <w:num w:numId="16">
    <w:abstractNumId w:val="9"/>
  </w:num>
  <w:num w:numId="17">
    <w:abstractNumId w:val="7"/>
  </w:num>
  <w:num w:numId="18">
    <w:abstractNumId w:val="9"/>
  </w:num>
  <w:num w:numId="19">
    <w:abstractNumId w:val="7"/>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C3"/>
    <w:rsid w:val="00001FC3"/>
    <w:rsid w:val="00015025"/>
    <w:rsid w:val="00017335"/>
    <w:rsid w:val="00054B70"/>
    <w:rsid w:val="00081619"/>
    <w:rsid w:val="000843C3"/>
    <w:rsid w:val="000914EF"/>
    <w:rsid w:val="000925DF"/>
    <w:rsid w:val="000A6386"/>
    <w:rsid w:val="000B3BAA"/>
    <w:rsid w:val="000E7D05"/>
    <w:rsid w:val="000F25CC"/>
    <w:rsid w:val="000F5FF1"/>
    <w:rsid w:val="001013F0"/>
    <w:rsid w:val="00114B84"/>
    <w:rsid w:val="00133D70"/>
    <w:rsid w:val="001438D8"/>
    <w:rsid w:val="00151AD4"/>
    <w:rsid w:val="001528C7"/>
    <w:rsid w:val="00157CE2"/>
    <w:rsid w:val="001717B1"/>
    <w:rsid w:val="0017355E"/>
    <w:rsid w:val="001746DF"/>
    <w:rsid w:val="00181CA9"/>
    <w:rsid w:val="001821A7"/>
    <w:rsid w:val="00197522"/>
    <w:rsid w:val="001B0D5A"/>
    <w:rsid w:val="001D3E0E"/>
    <w:rsid w:val="001D4F54"/>
    <w:rsid w:val="001E0AF3"/>
    <w:rsid w:val="001E35D3"/>
    <w:rsid w:val="001F2814"/>
    <w:rsid w:val="002017D1"/>
    <w:rsid w:val="00207B97"/>
    <w:rsid w:val="00210BE6"/>
    <w:rsid w:val="002145C9"/>
    <w:rsid w:val="00250686"/>
    <w:rsid w:val="00253269"/>
    <w:rsid w:val="002536CF"/>
    <w:rsid w:val="00272252"/>
    <w:rsid w:val="002779B3"/>
    <w:rsid w:val="002839BE"/>
    <w:rsid w:val="002960BA"/>
    <w:rsid w:val="002F25B9"/>
    <w:rsid w:val="002F3C71"/>
    <w:rsid w:val="00310457"/>
    <w:rsid w:val="00324ED4"/>
    <w:rsid w:val="0037396E"/>
    <w:rsid w:val="00375F93"/>
    <w:rsid w:val="0038796A"/>
    <w:rsid w:val="003B32EE"/>
    <w:rsid w:val="003B42AA"/>
    <w:rsid w:val="003B5868"/>
    <w:rsid w:val="003C0B36"/>
    <w:rsid w:val="003C1617"/>
    <w:rsid w:val="003D182E"/>
    <w:rsid w:val="003E0BF0"/>
    <w:rsid w:val="003E1AAB"/>
    <w:rsid w:val="00403947"/>
    <w:rsid w:val="00425EBA"/>
    <w:rsid w:val="0043156B"/>
    <w:rsid w:val="004321A3"/>
    <w:rsid w:val="00450583"/>
    <w:rsid w:val="00453A6A"/>
    <w:rsid w:val="0046433A"/>
    <w:rsid w:val="00466690"/>
    <w:rsid w:val="00467FBE"/>
    <w:rsid w:val="00470534"/>
    <w:rsid w:val="004A3FC5"/>
    <w:rsid w:val="004A5F06"/>
    <w:rsid w:val="004C3492"/>
    <w:rsid w:val="004D449A"/>
    <w:rsid w:val="004D798F"/>
    <w:rsid w:val="004E2D5B"/>
    <w:rsid w:val="004F0628"/>
    <w:rsid w:val="00503293"/>
    <w:rsid w:val="0053095B"/>
    <w:rsid w:val="00536B10"/>
    <w:rsid w:val="00537B2D"/>
    <w:rsid w:val="00561FA5"/>
    <w:rsid w:val="005844D2"/>
    <w:rsid w:val="005908B5"/>
    <w:rsid w:val="00591DE4"/>
    <w:rsid w:val="00597309"/>
    <w:rsid w:val="005A0656"/>
    <w:rsid w:val="005A2F61"/>
    <w:rsid w:val="005A39A7"/>
    <w:rsid w:val="005A6C7F"/>
    <w:rsid w:val="005C7654"/>
    <w:rsid w:val="005D276D"/>
    <w:rsid w:val="005E2D11"/>
    <w:rsid w:val="005E697C"/>
    <w:rsid w:val="005F2E5B"/>
    <w:rsid w:val="005F471F"/>
    <w:rsid w:val="00601DFD"/>
    <w:rsid w:val="00621ECD"/>
    <w:rsid w:val="006245E7"/>
    <w:rsid w:val="006275CE"/>
    <w:rsid w:val="006304C7"/>
    <w:rsid w:val="0063405F"/>
    <w:rsid w:val="00636BC9"/>
    <w:rsid w:val="006507B7"/>
    <w:rsid w:val="006614FA"/>
    <w:rsid w:val="00670EA5"/>
    <w:rsid w:val="006818AF"/>
    <w:rsid w:val="006C32CF"/>
    <w:rsid w:val="006E3E3B"/>
    <w:rsid w:val="00716BB3"/>
    <w:rsid w:val="00716E74"/>
    <w:rsid w:val="00727610"/>
    <w:rsid w:val="00784451"/>
    <w:rsid w:val="007B53A7"/>
    <w:rsid w:val="007B7893"/>
    <w:rsid w:val="007C129B"/>
    <w:rsid w:val="007C1570"/>
    <w:rsid w:val="007D0022"/>
    <w:rsid w:val="007D0EC4"/>
    <w:rsid w:val="007D2049"/>
    <w:rsid w:val="007E1A45"/>
    <w:rsid w:val="007E277B"/>
    <w:rsid w:val="007F7180"/>
    <w:rsid w:val="00814164"/>
    <w:rsid w:val="008307EB"/>
    <w:rsid w:val="00833C66"/>
    <w:rsid w:val="00845A08"/>
    <w:rsid w:val="00864AB1"/>
    <w:rsid w:val="00874C57"/>
    <w:rsid w:val="0088774C"/>
    <w:rsid w:val="00895BA9"/>
    <w:rsid w:val="008A2B8A"/>
    <w:rsid w:val="008A3E03"/>
    <w:rsid w:val="008A55AE"/>
    <w:rsid w:val="008C1493"/>
    <w:rsid w:val="008C2883"/>
    <w:rsid w:val="008C3BC2"/>
    <w:rsid w:val="008D2FA3"/>
    <w:rsid w:val="009034C0"/>
    <w:rsid w:val="0091757E"/>
    <w:rsid w:val="00923D5D"/>
    <w:rsid w:val="00973C16"/>
    <w:rsid w:val="009B0ABA"/>
    <w:rsid w:val="009C4F8B"/>
    <w:rsid w:val="009C502A"/>
    <w:rsid w:val="00A070B5"/>
    <w:rsid w:val="00A12398"/>
    <w:rsid w:val="00A233A5"/>
    <w:rsid w:val="00A42BEA"/>
    <w:rsid w:val="00A5278B"/>
    <w:rsid w:val="00A571F0"/>
    <w:rsid w:val="00A77604"/>
    <w:rsid w:val="00A96511"/>
    <w:rsid w:val="00A966C2"/>
    <w:rsid w:val="00AA6175"/>
    <w:rsid w:val="00AB0E97"/>
    <w:rsid w:val="00AB5736"/>
    <w:rsid w:val="00AD3969"/>
    <w:rsid w:val="00AE0CD3"/>
    <w:rsid w:val="00AE2C81"/>
    <w:rsid w:val="00AF0958"/>
    <w:rsid w:val="00AF1390"/>
    <w:rsid w:val="00AF2BDF"/>
    <w:rsid w:val="00AF4F00"/>
    <w:rsid w:val="00B01145"/>
    <w:rsid w:val="00B130B8"/>
    <w:rsid w:val="00B15FAF"/>
    <w:rsid w:val="00B17FC9"/>
    <w:rsid w:val="00B30F1C"/>
    <w:rsid w:val="00B441DC"/>
    <w:rsid w:val="00B4460F"/>
    <w:rsid w:val="00B60EF9"/>
    <w:rsid w:val="00B718AA"/>
    <w:rsid w:val="00B81E17"/>
    <w:rsid w:val="00B91ABC"/>
    <w:rsid w:val="00BA0ED7"/>
    <w:rsid w:val="00BA429A"/>
    <w:rsid w:val="00BE2A37"/>
    <w:rsid w:val="00BF286F"/>
    <w:rsid w:val="00BF7F92"/>
    <w:rsid w:val="00C04813"/>
    <w:rsid w:val="00C14BEF"/>
    <w:rsid w:val="00C16F6A"/>
    <w:rsid w:val="00C23787"/>
    <w:rsid w:val="00C26280"/>
    <w:rsid w:val="00C4597F"/>
    <w:rsid w:val="00C47520"/>
    <w:rsid w:val="00C50F65"/>
    <w:rsid w:val="00C54256"/>
    <w:rsid w:val="00C73BE6"/>
    <w:rsid w:val="00C7429D"/>
    <w:rsid w:val="00CB2799"/>
    <w:rsid w:val="00CB5EF2"/>
    <w:rsid w:val="00CC3E68"/>
    <w:rsid w:val="00D00F69"/>
    <w:rsid w:val="00D048EE"/>
    <w:rsid w:val="00D07915"/>
    <w:rsid w:val="00D13808"/>
    <w:rsid w:val="00D14C12"/>
    <w:rsid w:val="00D15E45"/>
    <w:rsid w:val="00D164E5"/>
    <w:rsid w:val="00D3468A"/>
    <w:rsid w:val="00D40137"/>
    <w:rsid w:val="00D4257D"/>
    <w:rsid w:val="00D60B20"/>
    <w:rsid w:val="00D653C7"/>
    <w:rsid w:val="00D67E6E"/>
    <w:rsid w:val="00D701A3"/>
    <w:rsid w:val="00D713DB"/>
    <w:rsid w:val="00D7673E"/>
    <w:rsid w:val="00D779B9"/>
    <w:rsid w:val="00D94420"/>
    <w:rsid w:val="00DC242C"/>
    <w:rsid w:val="00DE0267"/>
    <w:rsid w:val="00DE14A6"/>
    <w:rsid w:val="00DE28A4"/>
    <w:rsid w:val="00DF6F17"/>
    <w:rsid w:val="00E01FC7"/>
    <w:rsid w:val="00E03995"/>
    <w:rsid w:val="00E27D9D"/>
    <w:rsid w:val="00E35778"/>
    <w:rsid w:val="00E60F12"/>
    <w:rsid w:val="00E81A9B"/>
    <w:rsid w:val="00EA2BAE"/>
    <w:rsid w:val="00EA6B33"/>
    <w:rsid w:val="00EB68DE"/>
    <w:rsid w:val="00ED73DC"/>
    <w:rsid w:val="00EE146C"/>
    <w:rsid w:val="00EE4B42"/>
    <w:rsid w:val="00EF13EE"/>
    <w:rsid w:val="00F0106F"/>
    <w:rsid w:val="00F07676"/>
    <w:rsid w:val="00F4316D"/>
    <w:rsid w:val="00F472C0"/>
    <w:rsid w:val="00F73B93"/>
    <w:rsid w:val="00F77D35"/>
    <w:rsid w:val="00F83E42"/>
    <w:rsid w:val="00F958E7"/>
    <w:rsid w:val="00FA1079"/>
    <w:rsid w:val="00FA3008"/>
    <w:rsid w:val="00FA56EB"/>
    <w:rsid w:val="00FC5434"/>
    <w:rsid w:val="00FC6496"/>
    <w:rsid w:val="00FC7AA8"/>
    <w:rsid w:val="00FD3214"/>
    <w:rsid w:val="00FD61FD"/>
    <w:rsid w:val="00FD672C"/>
    <w:rsid w:val="00FF73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E5A94-9AF8-4290-9023-37BD91E5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7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492"/>
    <w:pPr>
      <w:tabs>
        <w:tab w:val="center" w:pos="4513"/>
        <w:tab w:val="right" w:pos="9026"/>
      </w:tabs>
    </w:pPr>
  </w:style>
  <w:style w:type="character" w:customStyle="1" w:styleId="HeaderChar">
    <w:name w:val="Header Char"/>
    <w:basedOn w:val="DefaultParagraphFont"/>
    <w:link w:val="Header"/>
    <w:uiPriority w:val="99"/>
    <w:rsid w:val="004C3492"/>
  </w:style>
  <w:style w:type="paragraph" w:styleId="Footer">
    <w:name w:val="footer"/>
    <w:basedOn w:val="Normal"/>
    <w:link w:val="FooterChar"/>
    <w:uiPriority w:val="99"/>
    <w:unhideWhenUsed/>
    <w:rsid w:val="004C3492"/>
    <w:pPr>
      <w:tabs>
        <w:tab w:val="center" w:pos="4513"/>
        <w:tab w:val="right" w:pos="9026"/>
      </w:tabs>
    </w:pPr>
  </w:style>
  <w:style w:type="character" w:customStyle="1" w:styleId="FooterChar">
    <w:name w:val="Footer Char"/>
    <w:basedOn w:val="DefaultParagraphFont"/>
    <w:link w:val="Footer"/>
    <w:uiPriority w:val="99"/>
    <w:rsid w:val="004C3492"/>
  </w:style>
  <w:style w:type="paragraph" w:styleId="BalloonText">
    <w:name w:val="Balloon Text"/>
    <w:basedOn w:val="Normal"/>
    <w:link w:val="BalloonTextChar"/>
    <w:uiPriority w:val="99"/>
    <w:semiHidden/>
    <w:unhideWhenUsed/>
    <w:rsid w:val="004C3492"/>
    <w:rPr>
      <w:rFonts w:ascii="Tahoma" w:hAnsi="Tahoma" w:cs="Tahoma"/>
      <w:sz w:val="16"/>
      <w:szCs w:val="16"/>
    </w:rPr>
  </w:style>
  <w:style w:type="character" w:customStyle="1" w:styleId="BalloonTextChar">
    <w:name w:val="Balloon Text Char"/>
    <w:basedOn w:val="DefaultParagraphFont"/>
    <w:link w:val="BalloonText"/>
    <w:uiPriority w:val="99"/>
    <w:semiHidden/>
    <w:rsid w:val="004C3492"/>
    <w:rPr>
      <w:rFonts w:ascii="Tahoma" w:hAnsi="Tahoma" w:cs="Tahoma"/>
      <w:sz w:val="16"/>
      <w:szCs w:val="16"/>
    </w:rPr>
  </w:style>
  <w:style w:type="paragraph" w:customStyle="1" w:styleId="Question">
    <w:name w:val="Question"/>
    <w:basedOn w:val="Normal"/>
    <w:next w:val="Normal"/>
    <w:rsid w:val="00973C16"/>
    <w:pPr>
      <w:spacing w:before="120" w:line="280" w:lineRule="atLeast"/>
    </w:pPr>
    <w:rPr>
      <w:b/>
      <w:sz w:val="20"/>
      <w:szCs w:val="20"/>
    </w:rPr>
  </w:style>
  <w:style w:type="character" w:styleId="Hyperlink">
    <w:name w:val="Hyperlink"/>
    <w:uiPriority w:val="99"/>
    <w:rsid w:val="00973C16"/>
    <w:rPr>
      <w:color w:val="0000FF"/>
      <w:u w:val="single"/>
    </w:rPr>
  </w:style>
  <w:style w:type="paragraph" w:customStyle="1" w:styleId="Default">
    <w:name w:val="Default"/>
    <w:rsid w:val="00973C16"/>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973C16"/>
    <w:pPr>
      <w:ind w:left="720"/>
      <w:contextualSpacing/>
    </w:pPr>
    <w:rPr>
      <w:rFonts w:ascii="Calibri" w:hAnsi="Calibri" w:cs="Arial"/>
      <w:lang w:eastAsia="en-GB"/>
    </w:rPr>
  </w:style>
  <w:style w:type="character" w:styleId="CommentReference">
    <w:name w:val="annotation reference"/>
    <w:basedOn w:val="DefaultParagraphFont"/>
    <w:uiPriority w:val="99"/>
    <w:semiHidden/>
    <w:unhideWhenUsed/>
    <w:rsid w:val="00425EBA"/>
    <w:rPr>
      <w:sz w:val="16"/>
      <w:szCs w:val="16"/>
    </w:rPr>
  </w:style>
  <w:style w:type="paragraph" w:styleId="CommentText">
    <w:name w:val="annotation text"/>
    <w:basedOn w:val="Normal"/>
    <w:link w:val="CommentTextChar"/>
    <w:uiPriority w:val="99"/>
    <w:semiHidden/>
    <w:unhideWhenUsed/>
    <w:rsid w:val="00425EBA"/>
    <w:rPr>
      <w:sz w:val="20"/>
      <w:szCs w:val="20"/>
    </w:rPr>
  </w:style>
  <w:style w:type="character" w:customStyle="1" w:styleId="CommentTextChar">
    <w:name w:val="Comment Text Char"/>
    <w:basedOn w:val="DefaultParagraphFont"/>
    <w:link w:val="CommentText"/>
    <w:uiPriority w:val="99"/>
    <w:semiHidden/>
    <w:rsid w:val="00425E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5EBA"/>
    <w:rPr>
      <w:b/>
      <w:bCs/>
    </w:rPr>
  </w:style>
  <w:style w:type="character" w:customStyle="1" w:styleId="CommentSubjectChar">
    <w:name w:val="Comment Subject Char"/>
    <w:basedOn w:val="CommentTextChar"/>
    <w:link w:val="CommentSubject"/>
    <w:uiPriority w:val="99"/>
    <w:semiHidden/>
    <w:rsid w:val="00425EBA"/>
    <w:rPr>
      <w:rFonts w:ascii="Arial" w:eastAsia="Times New Roman" w:hAnsi="Arial" w:cs="Times New Roman"/>
      <w:b/>
      <w:bCs/>
      <w:sz w:val="20"/>
      <w:szCs w:val="20"/>
    </w:rPr>
  </w:style>
  <w:style w:type="table" w:styleId="TableGrid">
    <w:name w:val="Table Grid"/>
    <w:basedOn w:val="TableNormal"/>
    <w:uiPriority w:val="99"/>
    <w:rsid w:val="00BF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znews2">
    <w:name w:val="biznews2"/>
    <w:basedOn w:val="Normal"/>
    <w:rsid w:val="008A55AE"/>
    <w:pPr>
      <w:spacing w:before="100" w:beforeAutospacing="1" w:after="100" w:afterAutospacing="1"/>
    </w:pPr>
    <w:rPr>
      <w:rFonts w:ascii="Times New Roman" w:hAnsi="Times New Roman"/>
      <w:sz w:val="24"/>
      <w:lang w:eastAsia="en-GB"/>
    </w:rPr>
  </w:style>
  <w:style w:type="paragraph" w:styleId="PlainText">
    <w:name w:val="Plain Text"/>
    <w:basedOn w:val="Normal"/>
    <w:link w:val="PlainTextChar"/>
    <w:uiPriority w:val="99"/>
    <w:semiHidden/>
    <w:unhideWhenUsed/>
    <w:rsid w:val="00D3468A"/>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D3468A"/>
    <w:rPr>
      <w:rFonts w:ascii="Consolas" w:eastAsia="Times New Roman"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223">
      <w:bodyDiv w:val="1"/>
      <w:marLeft w:val="0"/>
      <w:marRight w:val="0"/>
      <w:marTop w:val="0"/>
      <w:marBottom w:val="0"/>
      <w:divBdr>
        <w:top w:val="none" w:sz="0" w:space="0" w:color="auto"/>
        <w:left w:val="none" w:sz="0" w:space="0" w:color="auto"/>
        <w:bottom w:val="none" w:sz="0" w:space="0" w:color="auto"/>
        <w:right w:val="none" w:sz="0" w:space="0" w:color="auto"/>
      </w:divBdr>
    </w:div>
    <w:div w:id="141045309">
      <w:bodyDiv w:val="1"/>
      <w:marLeft w:val="0"/>
      <w:marRight w:val="0"/>
      <w:marTop w:val="0"/>
      <w:marBottom w:val="0"/>
      <w:divBdr>
        <w:top w:val="none" w:sz="0" w:space="0" w:color="auto"/>
        <w:left w:val="none" w:sz="0" w:space="0" w:color="auto"/>
        <w:bottom w:val="none" w:sz="0" w:space="0" w:color="auto"/>
        <w:right w:val="none" w:sz="0" w:space="0" w:color="auto"/>
      </w:divBdr>
    </w:div>
    <w:div w:id="408818465">
      <w:bodyDiv w:val="1"/>
      <w:marLeft w:val="0"/>
      <w:marRight w:val="0"/>
      <w:marTop w:val="0"/>
      <w:marBottom w:val="0"/>
      <w:divBdr>
        <w:top w:val="none" w:sz="0" w:space="0" w:color="auto"/>
        <w:left w:val="none" w:sz="0" w:space="0" w:color="auto"/>
        <w:bottom w:val="none" w:sz="0" w:space="0" w:color="auto"/>
        <w:right w:val="none" w:sz="0" w:space="0" w:color="auto"/>
      </w:divBdr>
    </w:div>
    <w:div w:id="483395573">
      <w:bodyDiv w:val="1"/>
      <w:marLeft w:val="0"/>
      <w:marRight w:val="0"/>
      <w:marTop w:val="0"/>
      <w:marBottom w:val="0"/>
      <w:divBdr>
        <w:top w:val="none" w:sz="0" w:space="0" w:color="auto"/>
        <w:left w:val="none" w:sz="0" w:space="0" w:color="auto"/>
        <w:bottom w:val="none" w:sz="0" w:space="0" w:color="auto"/>
        <w:right w:val="none" w:sz="0" w:space="0" w:color="auto"/>
      </w:divBdr>
    </w:div>
    <w:div w:id="504829349">
      <w:bodyDiv w:val="1"/>
      <w:marLeft w:val="0"/>
      <w:marRight w:val="0"/>
      <w:marTop w:val="0"/>
      <w:marBottom w:val="0"/>
      <w:divBdr>
        <w:top w:val="none" w:sz="0" w:space="0" w:color="auto"/>
        <w:left w:val="none" w:sz="0" w:space="0" w:color="auto"/>
        <w:bottom w:val="none" w:sz="0" w:space="0" w:color="auto"/>
        <w:right w:val="none" w:sz="0" w:space="0" w:color="auto"/>
      </w:divBdr>
    </w:div>
    <w:div w:id="574248241">
      <w:bodyDiv w:val="1"/>
      <w:marLeft w:val="0"/>
      <w:marRight w:val="0"/>
      <w:marTop w:val="0"/>
      <w:marBottom w:val="0"/>
      <w:divBdr>
        <w:top w:val="none" w:sz="0" w:space="0" w:color="auto"/>
        <w:left w:val="none" w:sz="0" w:space="0" w:color="auto"/>
        <w:bottom w:val="none" w:sz="0" w:space="0" w:color="auto"/>
        <w:right w:val="none" w:sz="0" w:space="0" w:color="auto"/>
      </w:divBdr>
      <w:divsChild>
        <w:div w:id="1726947531">
          <w:marLeft w:val="144"/>
          <w:marRight w:val="0"/>
          <w:marTop w:val="0"/>
          <w:marBottom w:val="0"/>
          <w:divBdr>
            <w:top w:val="none" w:sz="0" w:space="0" w:color="auto"/>
            <w:left w:val="none" w:sz="0" w:space="0" w:color="auto"/>
            <w:bottom w:val="none" w:sz="0" w:space="0" w:color="auto"/>
            <w:right w:val="none" w:sz="0" w:space="0" w:color="auto"/>
          </w:divBdr>
        </w:div>
      </w:divsChild>
    </w:div>
    <w:div w:id="591282226">
      <w:bodyDiv w:val="1"/>
      <w:marLeft w:val="0"/>
      <w:marRight w:val="0"/>
      <w:marTop w:val="0"/>
      <w:marBottom w:val="0"/>
      <w:divBdr>
        <w:top w:val="none" w:sz="0" w:space="0" w:color="auto"/>
        <w:left w:val="none" w:sz="0" w:space="0" w:color="auto"/>
        <w:bottom w:val="none" w:sz="0" w:space="0" w:color="auto"/>
        <w:right w:val="none" w:sz="0" w:space="0" w:color="auto"/>
      </w:divBdr>
    </w:div>
    <w:div w:id="599608540">
      <w:bodyDiv w:val="1"/>
      <w:marLeft w:val="0"/>
      <w:marRight w:val="0"/>
      <w:marTop w:val="0"/>
      <w:marBottom w:val="0"/>
      <w:divBdr>
        <w:top w:val="none" w:sz="0" w:space="0" w:color="auto"/>
        <w:left w:val="none" w:sz="0" w:space="0" w:color="auto"/>
        <w:bottom w:val="none" w:sz="0" w:space="0" w:color="auto"/>
        <w:right w:val="none" w:sz="0" w:space="0" w:color="auto"/>
      </w:divBdr>
    </w:div>
    <w:div w:id="709187023">
      <w:bodyDiv w:val="1"/>
      <w:marLeft w:val="0"/>
      <w:marRight w:val="0"/>
      <w:marTop w:val="0"/>
      <w:marBottom w:val="0"/>
      <w:divBdr>
        <w:top w:val="none" w:sz="0" w:space="0" w:color="auto"/>
        <w:left w:val="none" w:sz="0" w:space="0" w:color="auto"/>
        <w:bottom w:val="none" w:sz="0" w:space="0" w:color="auto"/>
        <w:right w:val="none" w:sz="0" w:space="0" w:color="auto"/>
      </w:divBdr>
    </w:div>
    <w:div w:id="767389050">
      <w:bodyDiv w:val="1"/>
      <w:marLeft w:val="0"/>
      <w:marRight w:val="0"/>
      <w:marTop w:val="0"/>
      <w:marBottom w:val="0"/>
      <w:divBdr>
        <w:top w:val="none" w:sz="0" w:space="0" w:color="auto"/>
        <w:left w:val="none" w:sz="0" w:space="0" w:color="auto"/>
        <w:bottom w:val="none" w:sz="0" w:space="0" w:color="auto"/>
        <w:right w:val="none" w:sz="0" w:space="0" w:color="auto"/>
      </w:divBdr>
    </w:div>
    <w:div w:id="965358627">
      <w:bodyDiv w:val="1"/>
      <w:marLeft w:val="0"/>
      <w:marRight w:val="0"/>
      <w:marTop w:val="0"/>
      <w:marBottom w:val="0"/>
      <w:divBdr>
        <w:top w:val="none" w:sz="0" w:space="0" w:color="auto"/>
        <w:left w:val="none" w:sz="0" w:space="0" w:color="auto"/>
        <w:bottom w:val="none" w:sz="0" w:space="0" w:color="auto"/>
        <w:right w:val="none" w:sz="0" w:space="0" w:color="auto"/>
      </w:divBdr>
    </w:div>
    <w:div w:id="1036932693">
      <w:bodyDiv w:val="1"/>
      <w:marLeft w:val="0"/>
      <w:marRight w:val="0"/>
      <w:marTop w:val="0"/>
      <w:marBottom w:val="0"/>
      <w:divBdr>
        <w:top w:val="none" w:sz="0" w:space="0" w:color="auto"/>
        <w:left w:val="none" w:sz="0" w:space="0" w:color="auto"/>
        <w:bottom w:val="none" w:sz="0" w:space="0" w:color="auto"/>
        <w:right w:val="none" w:sz="0" w:space="0" w:color="auto"/>
      </w:divBdr>
    </w:div>
    <w:div w:id="1136605137">
      <w:bodyDiv w:val="1"/>
      <w:marLeft w:val="0"/>
      <w:marRight w:val="0"/>
      <w:marTop w:val="0"/>
      <w:marBottom w:val="0"/>
      <w:divBdr>
        <w:top w:val="none" w:sz="0" w:space="0" w:color="auto"/>
        <w:left w:val="none" w:sz="0" w:space="0" w:color="auto"/>
        <w:bottom w:val="none" w:sz="0" w:space="0" w:color="auto"/>
        <w:right w:val="none" w:sz="0" w:space="0" w:color="auto"/>
      </w:divBdr>
    </w:div>
    <w:div w:id="1296791381">
      <w:bodyDiv w:val="1"/>
      <w:marLeft w:val="0"/>
      <w:marRight w:val="0"/>
      <w:marTop w:val="0"/>
      <w:marBottom w:val="0"/>
      <w:divBdr>
        <w:top w:val="none" w:sz="0" w:space="0" w:color="auto"/>
        <w:left w:val="none" w:sz="0" w:space="0" w:color="auto"/>
        <w:bottom w:val="none" w:sz="0" w:space="0" w:color="auto"/>
        <w:right w:val="none" w:sz="0" w:space="0" w:color="auto"/>
      </w:divBdr>
    </w:div>
    <w:div w:id="1313488918">
      <w:bodyDiv w:val="1"/>
      <w:marLeft w:val="0"/>
      <w:marRight w:val="0"/>
      <w:marTop w:val="0"/>
      <w:marBottom w:val="0"/>
      <w:divBdr>
        <w:top w:val="none" w:sz="0" w:space="0" w:color="auto"/>
        <w:left w:val="none" w:sz="0" w:space="0" w:color="auto"/>
        <w:bottom w:val="none" w:sz="0" w:space="0" w:color="auto"/>
        <w:right w:val="none" w:sz="0" w:space="0" w:color="auto"/>
      </w:divBdr>
      <w:divsChild>
        <w:div w:id="581840831">
          <w:marLeft w:val="0"/>
          <w:marRight w:val="0"/>
          <w:marTop w:val="0"/>
          <w:marBottom w:val="0"/>
          <w:divBdr>
            <w:top w:val="none" w:sz="0" w:space="0" w:color="auto"/>
            <w:left w:val="none" w:sz="0" w:space="0" w:color="auto"/>
            <w:bottom w:val="none" w:sz="0" w:space="0" w:color="auto"/>
            <w:right w:val="none" w:sz="0" w:space="0" w:color="auto"/>
          </w:divBdr>
        </w:div>
      </w:divsChild>
    </w:div>
    <w:div w:id="1667394012">
      <w:bodyDiv w:val="1"/>
      <w:marLeft w:val="0"/>
      <w:marRight w:val="0"/>
      <w:marTop w:val="0"/>
      <w:marBottom w:val="0"/>
      <w:divBdr>
        <w:top w:val="none" w:sz="0" w:space="0" w:color="auto"/>
        <w:left w:val="none" w:sz="0" w:space="0" w:color="auto"/>
        <w:bottom w:val="none" w:sz="0" w:space="0" w:color="auto"/>
        <w:right w:val="none" w:sz="0" w:space="0" w:color="auto"/>
      </w:divBdr>
    </w:div>
    <w:div w:id="1946887276">
      <w:bodyDiv w:val="1"/>
      <w:marLeft w:val="0"/>
      <w:marRight w:val="0"/>
      <w:marTop w:val="0"/>
      <w:marBottom w:val="0"/>
      <w:divBdr>
        <w:top w:val="none" w:sz="0" w:space="0" w:color="auto"/>
        <w:left w:val="none" w:sz="0" w:space="0" w:color="auto"/>
        <w:bottom w:val="none" w:sz="0" w:space="0" w:color="auto"/>
        <w:right w:val="none" w:sz="0" w:space="0" w:color="auto"/>
      </w:divBdr>
    </w:div>
    <w:div w:id="20040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Bank@brunswick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i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798E-F591-4668-A3C6-FAE14BAB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Brunswick Group</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Sifri</dc:creator>
  <cp:lastModifiedBy>Fatma Hamad Saeed Bin Shafia Al Ameri</cp:lastModifiedBy>
  <cp:revision>2</cp:revision>
  <cp:lastPrinted>2014-04-22T05:33:00Z</cp:lastPrinted>
  <dcterms:created xsi:type="dcterms:W3CDTF">2015-08-11T04:05:00Z</dcterms:created>
  <dcterms:modified xsi:type="dcterms:W3CDTF">2015-08-11T04:05:00Z</dcterms:modified>
</cp:coreProperties>
</file>